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C19F09" w14:textId="3E214E3A" w:rsidR="001F6F5B" w:rsidRDefault="001F6F5B" w:rsidP="001F6F5B">
      <w:pPr>
        <w:pStyle w:val="Title"/>
        <w:tabs>
          <w:tab w:val="right" w:pos="8931"/>
        </w:tabs>
        <w:spacing w:after="0"/>
        <w:rPr>
          <w:rFonts w:ascii="Arial" w:eastAsia="Calibri" w:hAnsi="Arial"/>
          <w:sz w:val="28"/>
          <w:szCs w:val="28"/>
        </w:rPr>
      </w:pPr>
      <w:r w:rsidRPr="001F6F5B">
        <w:rPr>
          <w:rFonts w:ascii="Arial" w:hAnsi="Arial" w:cs="Arial"/>
          <w:b/>
          <w:color w:val="280070"/>
          <w:position w:val="30"/>
          <w:sz w:val="28"/>
          <w:szCs w:val="28"/>
        </w:rPr>
        <w:t>NS</w:t>
      </w:r>
      <w:bookmarkStart w:id="0" w:name="_GoBack"/>
      <w:bookmarkEnd w:id="0"/>
      <w:r w:rsidRPr="001F6F5B">
        <w:rPr>
          <w:rFonts w:ascii="Arial" w:hAnsi="Arial" w:cs="Arial"/>
          <w:b/>
          <w:color w:val="280070"/>
          <w:position w:val="30"/>
          <w:sz w:val="28"/>
          <w:szCs w:val="28"/>
        </w:rPr>
        <w:t>W Education Standards Authority</w:t>
      </w:r>
      <w:r>
        <w:rPr>
          <w:sz w:val="28"/>
          <w:szCs w:val="28"/>
        </w:rPr>
        <w:t xml:space="preserve"> </w:t>
      </w:r>
      <w:r>
        <w:rPr>
          <w:sz w:val="28"/>
          <w:szCs w:val="28"/>
        </w:rPr>
        <w:tab/>
      </w:r>
      <w:r>
        <w:rPr>
          <w:noProof/>
          <w:sz w:val="40"/>
          <w:szCs w:val="40"/>
          <w:lang w:val="en-AU" w:eastAsia="en-AU"/>
        </w:rPr>
        <w:drawing>
          <wp:inline distT="0" distB="0" distL="0" distR="0" wp14:anchorId="01FB7B9B" wp14:editId="13C315A0">
            <wp:extent cx="657225" cy="704850"/>
            <wp:effectExtent l="0" t="0" r="9525" b="0"/>
            <wp:docPr id="7" name="Picture 7" descr="NSW Government logo" title="NSW Government logo"/>
            <wp:cNvGraphicFramePr/>
            <a:graphic xmlns:a="http://schemas.openxmlformats.org/drawingml/2006/main">
              <a:graphicData uri="http://schemas.openxmlformats.org/drawingml/2006/picture">
                <pic:pic xmlns:pic="http://schemas.openxmlformats.org/drawingml/2006/picture">
                  <pic:nvPicPr>
                    <pic:cNvPr id="7" name="Picture 7" descr="NSW Government logo" title="NSW Government logo"/>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0400" cy="701675"/>
                    </a:xfrm>
                    <a:prstGeom prst="rect">
                      <a:avLst/>
                    </a:prstGeom>
                    <a:extLst>
                      <a:ext uri="{FAA26D3D-D897-4be2-8F04-BA451C77F1D7}">
                        <ma14:placeholderFlag xmlns:lc="http://schemas.openxmlformats.org/drawingml/2006/lockedCanvas"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14029BA7" w14:textId="77777777" w:rsidR="001F6F5B" w:rsidRDefault="001F6F5B" w:rsidP="003D3B36">
      <w:pPr>
        <w:pStyle w:val="Heading1"/>
        <w:rPr>
          <w:sz w:val="28"/>
          <w:szCs w:val="28"/>
          <w:lang w:val="en-AU"/>
        </w:rPr>
      </w:pPr>
    </w:p>
    <w:p w14:paraId="3DA9B669" w14:textId="77777777" w:rsidR="001F6F5B" w:rsidRDefault="003D3B36" w:rsidP="003D3B36">
      <w:pPr>
        <w:pStyle w:val="Heading1"/>
        <w:rPr>
          <w:sz w:val="40"/>
          <w:szCs w:val="40"/>
          <w:lang w:val="en-AU"/>
        </w:rPr>
      </w:pPr>
      <w:r w:rsidRPr="001F6F5B">
        <w:rPr>
          <w:sz w:val="40"/>
          <w:szCs w:val="40"/>
          <w:lang w:val="en-AU"/>
        </w:rPr>
        <w:t xml:space="preserve">Inclusion of a Primary Teaching </w:t>
      </w:r>
      <w:r w:rsidR="00057ACE" w:rsidRPr="001F6F5B">
        <w:rPr>
          <w:sz w:val="40"/>
          <w:szCs w:val="40"/>
          <w:lang w:val="en-AU"/>
        </w:rPr>
        <w:t>s</w:t>
      </w:r>
      <w:r w:rsidRPr="001F6F5B">
        <w:rPr>
          <w:sz w:val="40"/>
          <w:szCs w:val="40"/>
          <w:lang w:val="en-AU"/>
        </w:rPr>
        <w:t>pecialisation within an accredited Initial Teacher Education program</w:t>
      </w:r>
    </w:p>
    <w:p w14:paraId="3B270180" w14:textId="0CF21203" w:rsidR="00905A9A" w:rsidRPr="001F6F5B" w:rsidRDefault="003D3B36" w:rsidP="003D3B36">
      <w:pPr>
        <w:pStyle w:val="Heading1"/>
        <w:rPr>
          <w:lang w:val="en-AU"/>
        </w:rPr>
      </w:pPr>
      <w:r w:rsidRPr="00B902A7">
        <w:rPr>
          <w:lang w:val="en-AU"/>
        </w:rPr>
        <w:br/>
      </w:r>
      <w:r w:rsidRPr="001F6F5B">
        <w:rPr>
          <w:sz w:val="30"/>
          <w:szCs w:val="30"/>
          <w:lang w:val="en-AU"/>
        </w:rPr>
        <w:t>Application template</w:t>
      </w:r>
    </w:p>
    <w:p w14:paraId="62715261" w14:textId="77777777" w:rsidR="002443F9" w:rsidRPr="001F6F5B" w:rsidRDefault="003D3B36" w:rsidP="003D3B36">
      <w:pPr>
        <w:pStyle w:val="Heading2"/>
        <w:rPr>
          <w:sz w:val="26"/>
          <w:szCs w:val="26"/>
          <w:lang w:val="en-AU"/>
        </w:rPr>
      </w:pPr>
      <w:r w:rsidRPr="001F6F5B">
        <w:rPr>
          <w:sz w:val="26"/>
          <w:szCs w:val="26"/>
          <w:lang w:val="en-AU"/>
        </w:rPr>
        <w:t>Provider:</w:t>
      </w:r>
    </w:p>
    <w:p w14:paraId="30724CFF" w14:textId="77777777" w:rsidR="00BE1FD0" w:rsidRPr="00B902A7" w:rsidRDefault="00D12C01" w:rsidP="003D3B36">
      <w:pPr>
        <w:rPr>
          <w:lang w:val="en-AU"/>
        </w:rPr>
      </w:pPr>
      <w:r w:rsidRPr="00B902A7">
        <w:rPr>
          <w:lang w:val="en-AU"/>
        </w:rPr>
        <w:t xml:space="preserve">This template </w:t>
      </w:r>
      <w:r w:rsidR="00A6591E" w:rsidRPr="00B902A7">
        <w:rPr>
          <w:lang w:val="en-AU"/>
        </w:rPr>
        <w:t>enables</w:t>
      </w:r>
      <w:r w:rsidRPr="00B902A7">
        <w:rPr>
          <w:lang w:val="en-AU"/>
        </w:rPr>
        <w:t xml:space="preserve"> </w:t>
      </w:r>
      <w:r w:rsidR="00D800B6" w:rsidRPr="00B902A7">
        <w:rPr>
          <w:lang w:val="en-AU"/>
        </w:rPr>
        <w:t>providers</w:t>
      </w:r>
      <w:r w:rsidRPr="00B902A7">
        <w:rPr>
          <w:lang w:val="en-AU"/>
        </w:rPr>
        <w:t xml:space="preserve"> to identify how the </w:t>
      </w:r>
      <w:r w:rsidR="00A6591E" w:rsidRPr="00B902A7">
        <w:rPr>
          <w:lang w:val="en-AU"/>
        </w:rPr>
        <w:t>r</w:t>
      </w:r>
      <w:r w:rsidR="002A6AB9" w:rsidRPr="00B902A7">
        <w:rPr>
          <w:lang w:val="en-AU"/>
        </w:rPr>
        <w:t>equirements</w:t>
      </w:r>
      <w:r w:rsidR="002A6AB9" w:rsidRPr="00B902A7">
        <w:rPr>
          <w:b/>
          <w:lang w:val="en-AU"/>
        </w:rPr>
        <w:t xml:space="preserve"> </w:t>
      </w:r>
      <w:r w:rsidR="002A6AB9" w:rsidRPr="00B902A7">
        <w:rPr>
          <w:lang w:val="en-AU"/>
        </w:rPr>
        <w:t xml:space="preserve">for </w:t>
      </w:r>
      <w:r w:rsidR="00A6591E" w:rsidRPr="00B902A7">
        <w:rPr>
          <w:lang w:val="en-AU"/>
        </w:rPr>
        <w:t xml:space="preserve">a </w:t>
      </w:r>
      <w:r w:rsidR="002A6AB9" w:rsidRPr="00B902A7">
        <w:rPr>
          <w:lang w:val="en-AU"/>
        </w:rPr>
        <w:t>voluntary</w:t>
      </w:r>
      <w:r w:rsidR="00A6591E" w:rsidRPr="00B902A7">
        <w:rPr>
          <w:lang w:val="en-AU"/>
        </w:rPr>
        <w:t xml:space="preserve"> specialisation</w:t>
      </w:r>
      <w:r w:rsidR="002A6AB9" w:rsidRPr="00B902A7">
        <w:rPr>
          <w:lang w:val="en-AU"/>
        </w:rPr>
        <w:t xml:space="preserve"> within </w:t>
      </w:r>
      <w:r w:rsidR="003F395E" w:rsidRPr="00B902A7">
        <w:rPr>
          <w:lang w:val="en-AU"/>
        </w:rPr>
        <w:t xml:space="preserve">a </w:t>
      </w:r>
      <w:r w:rsidR="002A6AB9" w:rsidRPr="00B902A7">
        <w:rPr>
          <w:lang w:val="en-AU"/>
        </w:rPr>
        <w:t>primary in</w:t>
      </w:r>
      <w:r w:rsidR="007132E1" w:rsidRPr="00B902A7">
        <w:rPr>
          <w:lang w:val="en-AU"/>
        </w:rPr>
        <w:t>itial teacher education program</w:t>
      </w:r>
      <w:r w:rsidR="00D7113F" w:rsidRPr="00B902A7">
        <w:rPr>
          <w:lang w:val="en-AU"/>
        </w:rPr>
        <w:t xml:space="preserve"> are addressed</w:t>
      </w:r>
      <w:r w:rsidR="002A6AB9" w:rsidRPr="00B902A7">
        <w:rPr>
          <w:lang w:val="en-AU"/>
        </w:rPr>
        <w:t>.</w:t>
      </w:r>
      <w:r w:rsidRPr="00B902A7">
        <w:rPr>
          <w:lang w:val="en-AU"/>
        </w:rPr>
        <w:t xml:space="preserve"> </w:t>
      </w:r>
    </w:p>
    <w:p w14:paraId="2C00B2D9" w14:textId="4F5965D1" w:rsidR="00BE1FD0" w:rsidRPr="00B902A7" w:rsidRDefault="00D7113F" w:rsidP="003D3B36">
      <w:pPr>
        <w:rPr>
          <w:lang w:val="en-AU"/>
        </w:rPr>
      </w:pPr>
      <w:r w:rsidRPr="00B902A7">
        <w:rPr>
          <w:lang w:val="en-AU"/>
        </w:rPr>
        <w:t xml:space="preserve">The </w:t>
      </w:r>
      <w:r w:rsidR="003F395E" w:rsidRPr="00B902A7">
        <w:rPr>
          <w:lang w:val="en-AU"/>
        </w:rPr>
        <w:t>application</w:t>
      </w:r>
      <w:r w:rsidR="00223AA5" w:rsidRPr="00B902A7">
        <w:rPr>
          <w:lang w:val="en-AU"/>
        </w:rPr>
        <w:t xml:space="preserve"> will be assessed by an E</w:t>
      </w:r>
      <w:r w:rsidRPr="00B902A7">
        <w:rPr>
          <w:lang w:val="en-AU"/>
        </w:rPr>
        <w:t xml:space="preserve">xpert </w:t>
      </w:r>
      <w:r w:rsidR="00223AA5" w:rsidRPr="00B902A7">
        <w:rPr>
          <w:lang w:val="en-AU"/>
        </w:rPr>
        <w:t>A</w:t>
      </w:r>
      <w:r w:rsidR="003F395E" w:rsidRPr="00B902A7">
        <w:rPr>
          <w:lang w:val="en-AU"/>
        </w:rPr>
        <w:t xml:space="preserve">dvisory </w:t>
      </w:r>
      <w:r w:rsidR="00223AA5" w:rsidRPr="00B902A7">
        <w:rPr>
          <w:lang w:val="en-AU"/>
        </w:rPr>
        <w:t>P</w:t>
      </w:r>
      <w:r w:rsidR="003F395E" w:rsidRPr="00B902A7">
        <w:rPr>
          <w:lang w:val="en-AU"/>
        </w:rPr>
        <w:t>anel</w:t>
      </w:r>
      <w:r w:rsidRPr="00B902A7">
        <w:rPr>
          <w:lang w:val="en-AU"/>
        </w:rPr>
        <w:t xml:space="preserve"> </w:t>
      </w:r>
      <w:r w:rsidR="00223AA5" w:rsidRPr="00B902A7">
        <w:rPr>
          <w:lang w:val="en-AU"/>
        </w:rPr>
        <w:t>against</w:t>
      </w:r>
      <w:r w:rsidR="003F395E" w:rsidRPr="00B902A7">
        <w:rPr>
          <w:lang w:val="en-AU"/>
        </w:rPr>
        <w:t xml:space="preserve"> the Primary </w:t>
      </w:r>
      <w:r w:rsidR="00223AA5" w:rsidRPr="00B902A7">
        <w:rPr>
          <w:lang w:val="en-AU"/>
        </w:rPr>
        <w:t xml:space="preserve">Teaching </w:t>
      </w:r>
      <w:r w:rsidR="003F395E" w:rsidRPr="00B902A7">
        <w:rPr>
          <w:lang w:val="en-AU"/>
        </w:rPr>
        <w:t xml:space="preserve">Specialisations Policy Framework </w:t>
      </w:r>
      <w:r w:rsidR="00223AA5" w:rsidRPr="00B902A7">
        <w:rPr>
          <w:lang w:val="en-AU"/>
        </w:rPr>
        <w:t xml:space="preserve">and the requirements of the particular </w:t>
      </w:r>
      <w:r w:rsidR="00727721" w:rsidRPr="00B902A7">
        <w:rPr>
          <w:lang w:val="en-AU"/>
        </w:rPr>
        <w:t xml:space="preserve">specialisation </w:t>
      </w:r>
      <w:r w:rsidR="00223AA5" w:rsidRPr="00B902A7">
        <w:rPr>
          <w:lang w:val="en-AU"/>
        </w:rPr>
        <w:t xml:space="preserve">area. The Expert Advisory Panel will assess the application </w:t>
      </w:r>
      <w:r w:rsidR="00D13635" w:rsidRPr="00B902A7">
        <w:rPr>
          <w:lang w:val="en-AU"/>
        </w:rPr>
        <w:t>with the aim of</w:t>
      </w:r>
      <w:r w:rsidRPr="00B902A7">
        <w:rPr>
          <w:lang w:val="en-AU"/>
        </w:rPr>
        <w:t xml:space="preserve"> a report </w:t>
      </w:r>
      <w:r w:rsidR="00D13635" w:rsidRPr="00B902A7">
        <w:rPr>
          <w:lang w:val="en-AU"/>
        </w:rPr>
        <w:t xml:space="preserve">being provided </w:t>
      </w:r>
      <w:r w:rsidR="003F395E" w:rsidRPr="00B902A7">
        <w:rPr>
          <w:lang w:val="en-AU"/>
        </w:rPr>
        <w:t>to</w:t>
      </w:r>
      <w:r w:rsidRPr="00B902A7">
        <w:rPr>
          <w:lang w:val="en-AU"/>
        </w:rPr>
        <w:t xml:space="preserve"> the</w:t>
      </w:r>
      <w:r w:rsidR="00223AA5" w:rsidRPr="00B902A7">
        <w:rPr>
          <w:lang w:val="en-AU"/>
        </w:rPr>
        <w:t xml:space="preserve"> </w:t>
      </w:r>
      <w:r w:rsidR="00746F17" w:rsidRPr="00B902A7">
        <w:rPr>
          <w:lang w:val="en-AU"/>
        </w:rPr>
        <w:t>NESA</w:t>
      </w:r>
      <w:r w:rsidRPr="00B902A7">
        <w:rPr>
          <w:lang w:val="en-AU"/>
        </w:rPr>
        <w:t xml:space="preserve"> Initial Teacher Education Committee (ITEC).</w:t>
      </w:r>
      <w:r w:rsidR="004D2D5A" w:rsidRPr="00B902A7">
        <w:rPr>
          <w:lang w:val="en-AU"/>
        </w:rPr>
        <w:t xml:space="preserve"> The ITEC will determine the endorsement of a primary teaching specialisation.</w:t>
      </w:r>
    </w:p>
    <w:p w14:paraId="31D9EB00" w14:textId="77777777" w:rsidR="004A31E0" w:rsidRPr="00B902A7" w:rsidRDefault="005C1890" w:rsidP="003D3B36">
      <w:pPr>
        <w:rPr>
          <w:lang w:val="en-AU"/>
        </w:rPr>
      </w:pPr>
      <w:r w:rsidRPr="00B902A7">
        <w:rPr>
          <w:lang w:val="en-AU"/>
        </w:rPr>
        <w:t xml:space="preserve">The Policy Framework describes that </w:t>
      </w:r>
      <w:r w:rsidR="002A6AB9" w:rsidRPr="00B902A7">
        <w:rPr>
          <w:lang w:val="en-AU"/>
        </w:rPr>
        <w:t xml:space="preserve">specialisations rely on the provision of units of study that are in addition to that already required for program accreditation. Programs with a more extensive set of units devoted to a particular learning area enable the teacher education provider to offer a deeper, more comprehensive preparation in the learning area. This allows teacher education students to more fully engage with, internalise and apply the knowledge in various contexts. </w:t>
      </w:r>
    </w:p>
    <w:p w14:paraId="1019335F" w14:textId="06F26B73" w:rsidR="002A6AB9" w:rsidRPr="00B902A7" w:rsidRDefault="002A6AB9" w:rsidP="003D3B36">
      <w:pPr>
        <w:rPr>
          <w:lang w:val="en-AU"/>
        </w:rPr>
      </w:pPr>
      <w:r w:rsidRPr="00B902A7">
        <w:rPr>
          <w:lang w:val="en-AU"/>
        </w:rPr>
        <w:t xml:space="preserve">The </w:t>
      </w:r>
      <w:r w:rsidR="003F395E" w:rsidRPr="00B902A7">
        <w:rPr>
          <w:lang w:val="en-AU"/>
        </w:rPr>
        <w:t xml:space="preserve">essential </w:t>
      </w:r>
      <w:r w:rsidRPr="00B902A7">
        <w:rPr>
          <w:lang w:val="en-AU"/>
        </w:rPr>
        <w:t>requirement for a</w:t>
      </w:r>
      <w:r w:rsidR="005C1890" w:rsidRPr="00B902A7">
        <w:rPr>
          <w:lang w:val="en-AU"/>
        </w:rPr>
        <w:t>ny</w:t>
      </w:r>
      <w:r w:rsidRPr="00B902A7">
        <w:rPr>
          <w:lang w:val="en-AU"/>
        </w:rPr>
        <w:t xml:space="preserve"> specialisatio</w:t>
      </w:r>
      <w:r w:rsidR="00746F17" w:rsidRPr="00B902A7">
        <w:rPr>
          <w:lang w:val="en-AU"/>
        </w:rPr>
        <w:t>n recognised by NESA</w:t>
      </w:r>
      <w:r w:rsidR="004A31E0" w:rsidRPr="00B902A7">
        <w:rPr>
          <w:lang w:val="en-AU"/>
        </w:rPr>
        <w:t xml:space="preserve"> is: </w:t>
      </w:r>
    </w:p>
    <w:p w14:paraId="31D48B38" w14:textId="77777777" w:rsidR="002F455B" w:rsidRPr="00B902A7" w:rsidRDefault="002A6AB9" w:rsidP="003D3B36">
      <w:pPr>
        <w:pStyle w:val="ListParagraph"/>
      </w:pPr>
      <w:r w:rsidRPr="00B902A7">
        <w:t xml:space="preserve">a total of at least </w:t>
      </w:r>
      <w:r w:rsidRPr="00B902A7">
        <w:rPr>
          <w:b/>
        </w:rPr>
        <w:t>six units</w:t>
      </w:r>
      <w:r w:rsidRPr="00B902A7">
        <w:t xml:space="preserve"> (0.75 EFTSL) of discipline and/or discipline-specific curriculum and pedagogical studies in an undergraduate program; or </w:t>
      </w:r>
    </w:p>
    <w:p w14:paraId="41EDB6AA" w14:textId="77777777" w:rsidR="002A6AB9" w:rsidRPr="00B902A7" w:rsidRDefault="002A6AB9" w:rsidP="003D3B36">
      <w:pPr>
        <w:pStyle w:val="ListParagraph"/>
      </w:pPr>
      <w:r w:rsidRPr="00B902A7">
        <w:t xml:space="preserve">at least </w:t>
      </w:r>
      <w:r w:rsidRPr="00B902A7">
        <w:rPr>
          <w:b/>
        </w:rPr>
        <w:t>three units</w:t>
      </w:r>
      <w:r w:rsidRPr="00B902A7">
        <w:t xml:space="preserve"> (0.375 EFTSL) of discipline and/or discipline-specific curriculum and pedagogical studies in a graduate entry program building on at least four units (0.5 EFTSL) of discipline in the underlying bachelor degree.</w:t>
      </w:r>
    </w:p>
    <w:p w14:paraId="578570FF" w14:textId="77777777" w:rsidR="00E61473" w:rsidRPr="00B902A7" w:rsidRDefault="00D12C01" w:rsidP="003D3B36">
      <w:pPr>
        <w:rPr>
          <w:lang w:val="en-AU"/>
        </w:rPr>
      </w:pPr>
      <w:r w:rsidRPr="00B902A7">
        <w:rPr>
          <w:lang w:val="en-AU"/>
        </w:rPr>
        <w:t xml:space="preserve">This template is designed to: </w:t>
      </w:r>
    </w:p>
    <w:p w14:paraId="354CCD4A" w14:textId="77777777" w:rsidR="00D12C01" w:rsidRPr="00B902A7" w:rsidRDefault="00D12C01" w:rsidP="003D3B36">
      <w:pPr>
        <w:pStyle w:val="ListParagraph"/>
      </w:pPr>
      <w:r w:rsidRPr="00B902A7">
        <w:t xml:space="preserve">assist higher education </w:t>
      </w:r>
      <w:r w:rsidR="00D800B6" w:rsidRPr="00B902A7">
        <w:t>providers</w:t>
      </w:r>
      <w:r w:rsidRPr="00B902A7">
        <w:t xml:space="preserve"> to </w:t>
      </w:r>
      <w:r w:rsidR="00727721" w:rsidRPr="00B902A7">
        <w:t xml:space="preserve">more </w:t>
      </w:r>
      <w:r w:rsidR="00E6770E" w:rsidRPr="00B902A7">
        <w:t>clearly</w:t>
      </w:r>
      <w:r w:rsidR="00727721" w:rsidRPr="00B902A7">
        <w:t xml:space="preserve"> </w:t>
      </w:r>
      <w:r w:rsidR="000135D2" w:rsidRPr="00B902A7">
        <w:t>indicate</w:t>
      </w:r>
      <w:r w:rsidRPr="00B902A7">
        <w:t xml:space="preserve"> how the </w:t>
      </w:r>
      <w:r w:rsidR="00727721" w:rsidRPr="00B902A7">
        <w:t>specialisation</w:t>
      </w:r>
      <w:r w:rsidRPr="00B902A7">
        <w:t xml:space="preserve"> </w:t>
      </w:r>
      <w:r w:rsidR="002A6AB9" w:rsidRPr="00B902A7">
        <w:t>address</w:t>
      </w:r>
      <w:r w:rsidR="00727721" w:rsidRPr="00B902A7">
        <w:t>es</w:t>
      </w:r>
      <w:r w:rsidR="002A6AB9" w:rsidRPr="00B902A7">
        <w:t xml:space="preserve"> the </w:t>
      </w:r>
      <w:r w:rsidR="00CE4559" w:rsidRPr="00B902A7">
        <w:t xml:space="preserve">general </w:t>
      </w:r>
      <w:r w:rsidR="00E6770E" w:rsidRPr="00B902A7">
        <w:t xml:space="preserve">purpose and specific </w:t>
      </w:r>
      <w:r w:rsidR="007515EA" w:rsidRPr="00B902A7">
        <w:t>r</w:t>
      </w:r>
      <w:r w:rsidR="00D7113F" w:rsidRPr="00B902A7">
        <w:t>equirements</w:t>
      </w:r>
      <w:r w:rsidR="002A6AB9" w:rsidRPr="00B902A7">
        <w:t xml:space="preserve"> </w:t>
      </w:r>
      <w:r w:rsidR="00D7113F" w:rsidRPr="00B902A7">
        <w:t>for the selected specialisation;</w:t>
      </w:r>
    </w:p>
    <w:p w14:paraId="5E6C63E0" w14:textId="77777777" w:rsidR="00D12C01" w:rsidRPr="00B902A7" w:rsidRDefault="00D12C01" w:rsidP="003D3B36">
      <w:pPr>
        <w:pStyle w:val="ListParagraph"/>
      </w:pPr>
      <w:r w:rsidRPr="00B902A7">
        <w:t xml:space="preserve">assist the </w:t>
      </w:r>
      <w:r w:rsidR="007515EA" w:rsidRPr="00B902A7">
        <w:t>E</w:t>
      </w:r>
      <w:r w:rsidR="00D7113F" w:rsidRPr="00B902A7">
        <w:t>xpert</w:t>
      </w:r>
      <w:r w:rsidR="007515EA" w:rsidRPr="00B902A7">
        <w:t xml:space="preserve"> Advisory P</w:t>
      </w:r>
      <w:r w:rsidRPr="00B902A7">
        <w:t xml:space="preserve">anel to </w:t>
      </w:r>
      <w:r w:rsidR="00CE4559" w:rsidRPr="00B902A7">
        <w:t>understand the approach taken to meeting the requirements of the specialisation including the rationale its structure and development or sourcing of units within it</w:t>
      </w:r>
      <w:r w:rsidR="00C6124D" w:rsidRPr="00B902A7">
        <w:t>;</w:t>
      </w:r>
    </w:p>
    <w:p w14:paraId="7F4079F6" w14:textId="77777777" w:rsidR="002274FB" w:rsidRPr="00B902A7" w:rsidRDefault="00727721" w:rsidP="003D3B36">
      <w:pPr>
        <w:pStyle w:val="ListParagraph"/>
      </w:pPr>
      <w:r w:rsidRPr="00B902A7">
        <w:t xml:space="preserve">assist the Expert Advisory Panel to identify where in the selected units the requirements are addressed </w:t>
      </w:r>
      <w:r w:rsidR="00F97C20" w:rsidRPr="00B902A7">
        <w:t>therefore assisting it in its assessment</w:t>
      </w:r>
      <w:r w:rsidR="002274FB" w:rsidRPr="00B902A7">
        <w:t>.</w:t>
      </w:r>
    </w:p>
    <w:p w14:paraId="0DDCDA37" w14:textId="6CAC3A75" w:rsidR="00057ACE" w:rsidRPr="00B902A7" w:rsidRDefault="00057ACE" w:rsidP="00057ACE">
      <w:pPr>
        <w:jc w:val="center"/>
        <w:rPr>
          <w:lang w:val="en-AU"/>
        </w:rPr>
      </w:pPr>
      <w:r w:rsidRPr="00B902A7">
        <w:rPr>
          <w:lang w:val="en-AU"/>
        </w:rPr>
        <w:t>***</w:t>
      </w:r>
    </w:p>
    <w:p w14:paraId="2F1E6479" w14:textId="77777777" w:rsidR="009367E8" w:rsidRPr="00B902A7" w:rsidRDefault="005072E7" w:rsidP="003D3B36">
      <w:pPr>
        <w:rPr>
          <w:lang w:val="en-AU"/>
        </w:rPr>
      </w:pPr>
      <w:r w:rsidRPr="00B902A7">
        <w:rPr>
          <w:lang w:val="en-AU"/>
        </w:rPr>
        <w:lastRenderedPageBreak/>
        <w:t>Please provide a statement below</w:t>
      </w:r>
      <w:r w:rsidR="009367E8" w:rsidRPr="00B902A7">
        <w:rPr>
          <w:lang w:val="en-AU"/>
        </w:rPr>
        <w:t xml:space="preserve"> to the following essential aspects of the requirements:</w:t>
      </w:r>
    </w:p>
    <w:p w14:paraId="3C014ED3" w14:textId="77777777" w:rsidR="003D3B36" w:rsidRPr="001F6F5B" w:rsidRDefault="009367E8" w:rsidP="003D3B36">
      <w:pPr>
        <w:pStyle w:val="Heading3"/>
        <w:rPr>
          <w:sz w:val="24"/>
          <w:szCs w:val="24"/>
        </w:rPr>
      </w:pPr>
      <w:r w:rsidRPr="001F6F5B">
        <w:rPr>
          <w:sz w:val="24"/>
          <w:szCs w:val="24"/>
        </w:rPr>
        <w:t>Purpos</w:t>
      </w:r>
      <w:r w:rsidR="003D3B36" w:rsidRPr="001F6F5B">
        <w:rPr>
          <w:sz w:val="24"/>
          <w:szCs w:val="24"/>
        </w:rPr>
        <w:t>e</w:t>
      </w:r>
    </w:p>
    <w:p w14:paraId="1939B877" w14:textId="77777777" w:rsidR="009367E8" w:rsidRPr="00B902A7" w:rsidRDefault="009367E8" w:rsidP="003D3B36">
      <w:pPr>
        <w:rPr>
          <w:lang w:val="en-AU"/>
        </w:rPr>
      </w:pPr>
      <w:r w:rsidRPr="00B902A7">
        <w:rPr>
          <w:lang w:val="en-AU"/>
        </w:rPr>
        <w:t>Provide an explanation</w:t>
      </w:r>
      <w:r w:rsidR="00B6651E" w:rsidRPr="00B902A7">
        <w:rPr>
          <w:lang w:val="en-AU"/>
        </w:rPr>
        <w:t xml:space="preserve"> </w:t>
      </w:r>
      <w:r w:rsidR="00C0284D" w:rsidRPr="00B902A7">
        <w:rPr>
          <w:lang w:val="en-AU"/>
        </w:rPr>
        <w:t xml:space="preserve">below </w:t>
      </w:r>
      <w:r w:rsidR="00B6651E" w:rsidRPr="00B902A7">
        <w:rPr>
          <w:lang w:val="en-AU"/>
        </w:rPr>
        <w:t xml:space="preserve">of how you see your specialisation meeting the Purpose of </w:t>
      </w:r>
      <w:r w:rsidR="00E736F0" w:rsidRPr="00B902A7">
        <w:rPr>
          <w:lang w:val="en-AU"/>
        </w:rPr>
        <w:t xml:space="preserve">primary teaching </w:t>
      </w:r>
      <w:r w:rsidR="00B6651E" w:rsidRPr="00B902A7">
        <w:rPr>
          <w:lang w:val="en-AU"/>
        </w:rPr>
        <w:t>specialisations</w:t>
      </w:r>
      <w:r w:rsidR="00333D47" w:rsidRPr="00B902A7">
        <w:rPr>
          <w:lang w:val="en-AU"/>
        </w:rPr>
        <w:t xml:space="preserve"> as stated in the Policy Fra</w:t>
      </w:r>
      <w:r w:rsidR="009132BC" w:rsidRPr="00B902A7">
        <w:rPr>
          <w:lang w:val="en-AU"/>
        </w:rPr>
        <w:t>mework</w:t>
      </w:r>
      <w:r w:rsidR="00B6651E" w:rsidRPr="00B902A7">
        <w:rPr>
          <w:lang w:val="en-AU"/>
        </w:rPr>
        <w:t>.</w:t>
      </w:r>
    </w:p>
    <w:tbl>
      <w:tblPr>
        <w:tblStyle w:val="TableGrid"/>
        <w:tblW w:w="0" w:type="auto"/>
        <w:tblBorders>
          <w:top w:val="single" w:sz="4" w:space="0" w:color="280070"/>
          <w:left w:val="single" w:sz="4" w:space="0" w:color="280070"/>
          <w:bottom w:val="single" w:sz="4" w:space="0" w:color="280070"/>
          <w:right w:val="single" w:sz="4" w:space="0" w:color="280070"/>
          <w:insideH w:val="none" w:sz="0" w:space="0" w:color="auto"/>
          <w:insideV w:val="none" w:sz="0" w:space="0" w:color="auto"/>
        </w:tblBorders>
        <w:tblCellMar>
          <w:top w:w="108" w:type="dxa"/>
          <w:bottom w:w="108" w:type="dxa"/>
        </w:tblCellMar>
        <w:tblLook w:val="04A0" w:firstRow="1" w:lastRow="0" w:firstColumn="1" w:lastColumn="0" w:noHBand="0" w:noVBand="1"/>
        <w:tblDescription w:val="Purpose"/>
      </w:tblPr>
      <w:tblGrid>
        <w:gridCol w:w="9017"/>
      </w:tblGrid>
      <w:tr w:rsidR="003D3B36" w:rsidRPr="00B902A7" w14:paraId="32CF17F3" w14:textId="77777777" w:rsidTr="00583ABF">
        <w:trPr>
          <w:tblHeader/>
        </w:trPr>
        <w:tc>
          <w:tcPr>
            <w:tcW w:w="9855" w:type="dxa"/>
          </w:tcPr>
          <w:p w14:paraId="56666F77" w14:textId="77777777" w:rsidR="003D3B36" w:rsidRPr="00B902A7" w:rsidRDefault="003D3B36" w:rsidP="003D3B36">
            <w:pPr>
              <w:spacing w:after="0"/>
              <w:rPr>
                <w:lang w:val="en-AU"/>
              </w:rPr>
            </w:pPr>
          </w:p>
        </w:tc>
      </w:tr>
    </w:tbl>
    <w:p w14:paraId="4DD69872" w14:textId="77777777" w:rsidR="00333D47" w:rsidRPr="001F6F5B" w:rsidRDefault="00333D47" w:rsidP="003D3B36">
      <w:pPr>
        <w:pStyle w:val="Heading3"/>
        <w:rPr>
          <w:sz w:val="24"/>
          <w:szCs w:val="24"/>
        </w:rPr>
      </w:pPr>
      <w:r w:rsidRPr="001F6F5B">
        <w:rPr>
          <w:sz w:val="24"/>
          <w:szCs w:val="24"/>
        </w:rPr>
        <w:t>Structure and its Rationale</w:t>
      </w:r>
    </w:p>
    <w:p w14:paraId="3CA33F15" w14:textId="77777777" w:rsidR="00333D47" w:rsidRPr="00B902A7" w:rsidRDefault="00C0284D" w:rsidP="003D3B36">
      <w:pPr>
        <w:rPr>
          <w:lang w:val="en-AU"/>
        </w:rPr>
      </w:pPr>
      <w:r w:rsidRPr="00B902A7">
        <w:rPr>
          <w:lang w:val="en-AU"/>
        </w:rPr>
        <w:t>Provide</w:t>
      </w:r>
      <w:r w:rsidR="00333D47" w:rsidRPr="00B902A7">
        <w:rPr>
          <w:lang w:val="en-AU"/>
        </w:rPr>
        <w:t xml:space="preserve"> a program structure </w:t>
      </w:r>
      <w:r w:rsidRPr="00B902A7">
        <w:rPr>
          <w:lang w:val="en-AU"/>
        </w:rPr>
        <w:t xml:space="preserve">clearly </w:t>
      </w:r>
      <w:r w:rsidR="00333D47" w:rsidRPr="00B902A7">
        <w:rPr>
          <w:lang w:val="en-AU"/>
        </w:rPr>
        <w:t xml:space="preserve">indicating the units </w:t>
      </w:r>
      <w:r w:rsidRPr="00B902A7">
        <w:rPr>
          <w:lang w:val="en-AU"/>
        </w:rPr>
        <w:t>that are part of</w:t>
      </w:r>
      <w:r w:rsidR="00333D47" w:rsidRPr="00B902A7">
        <w:rPr>
          <w:lang w:val="en-AU"/>
        </w:rPr>
        <w:t xml:space="preserve"> the specialisation and</w:t>
      </w:r>
      <w:r w:rsidR="00B60DD0" w:rsidRPr="00B902A7">
        <w:rPr>
          <w:lang w:val="en-AU"/>
        </w:rPr>
        <w:t xml:space="preserve"> attach the respective unit</w:t>
      </w:r>
      <w:r w:rsidRPr="00B902A7">
        <w:rPr>
          <w:lang w:val="en-AU"/>
        </w:rPr>
        <w:t xml:space="preserve"> outlines. Provide </w:t>
      </w:r>
      <w:r w:rsidR="00333D47" w:rsidRPr="00B902A7">
        <w:rPr>
          <w:lang w:val="en-AU"/>
        </w:rPr>
        <w:t xml:space="preserve">advice below on </w:t>
      </w:r>
      <w:r w:rsidRPr="00B902A7">
        <w:rPr>
          <w:lang w:val="en-AU"/>
        </w:rPr>
        <w:t>the r</w:t>
      </w:r>
      <w:r w:rsidR="00B60DD0" w:rsidRPr="00B902A7">
        <w:rPr>
          <w:lang w:val="en-AU"/>
        </w:rPr>
        <w:t>ationale for the development/</w:t>
      </w:r>
      <w:r w:rsidRPr="00B902A7">
        <w:rPr>
          <w:lang w:val="en-AU"/>
        </w:rPr>
        <w:t>selection</w:t>
      </w:r>
      <w:r w:rsidR="00B60DD0" w:rsidRPr="00B902A7">
        <w:rPr>
          <w:lang w:val="en-AU"/>
        </w:rPr>
        <w:t>/sourcing</w:t>
      </w:r>
      <w:r w:rsidRPr="00B902A7">
        <w:rPr>
          <w:lang w:val="en-AU"/>
        </w:rPr>
        <w:t xml:space="preserve"> of these units</w:t>
      </w:r>
      <w:r w:rsidR="009138FE" w:rsidRPr="00B902A7">
        <w:rPr>
          <w:lang w:val="en-AU"/>
        </w:rPr>
        <w:t xml:space="preserve"> (</w:t>
      </w:r>
      <w:proofErr w:type="spellStart"/>
      <w:r w:rsidR="009138FE" w:rsidRPr="00B902A7">
        <w:rPr>
          <w:lang w:val="en-AU"/>
        </w:rPr>
        <w:t>ie</w:t>
      </w:r>
      <w:proofErr w:type="spellEnd"/>
      <w:r w:rsidR="009138FE" w:rsidRPr="00B902A7">
        <w:rPr>
          <w:lang w:val="en-AU"/>
        </w:rPr>
        <w:t xml:space="preserve"> from other schools/faculties)</w:t>
      </w:r>
      <w:r w:rsidR="00333D47" w:rsidRPr="00B902A7">
        <w:rPr>
          <w:lang w:val="en-AU"/>
        </w:rPr>
        <w:t>.</w:t>
      </w:r>
      <w:r w:rsidR="003D3B36" w:rsidRPr="00B902A7">
        <w:rPr>
          <w:lang w:val="en-AU"/>
        </w:rPr>
        <w:t xml:space="preserve"> </w:t>
      </w:r>
      <w:r w:rsidR="00C845F1" w:rsidRPr="00B902A7">
        <w:rPr>
          <w:lang w:val="en-AU"/>
        </w:rPr>
        <w:t xml:space="preserve">The advice should explain the careful and deliberate scaffolding of the units used in the </w:t>
      </w:r>
      <w:r w:rsidR="003D3B36" w:rsidRPr="00B902A7">
        <w:rPr>
          <w:lang w:val="en-AU"/>
        </w:rPr>
        <w:t>specialization.</w:t>
      </w:r>
    </w:p>
    <w:tbl>
      <w:tblPr>
        <w:tblStyle w:val="TableGrid"/>
        <w:tblW w:w="0" w:type="auto"/>
        <w:tblBorders>
          <w:top w:val="single" w:sz="4" w:space="0" w:color="280070"/>
          <w:left w:val="single" w:sz="4" w:space="0" w:color="280070"/>
          <w:bottom w:val="single" w:sz="4" w:space="0" w:color="280070"/>
          <w:right w:val="single" w:sz="4" w:space="0" w:color="280070"/>
          <w:insideH w:val="none" w:sz="0" w:space="0" w:color="auto"/>
          <w:insideV w:val="none" w:sz="0" w:space="0" w:color="auto"/>
        </w:tblBorders>
        <w:tblCellMar>
          <w:top w:w="108" w:type="dxa"/>
          <w:bottom w:w="108" w:type="dxa"/>
        </w:tblCellMar>
        <w:tblLook w:val="04A0" w:firstRow="1" w:lastRow="0" w:firstColumn="1" w:lastColumn="0" w:noHBand="0" w:noVBand="1"/>
        <w:tblDescription w:val="Structure and its Rationale"/>
      </w:tblPr>
      <w:tblGrid>
        <w:gridCol w:w="9017"/>
      </w:tblGrid>
      <w:tr w:rsidR="003D3B36" w:rsidRPr="00B902A7" w14:paraId="6FDFE523" w14:textId="77777777" w:rsidTr="00583ABF">
        <w:trPr>
          <w:tblHeader/>
        </w:trPr>
        <w:tc>
          <w:tcPr>
            <w:tcW w:w="9855" w:type="dxa"/>
          </w:tcPr>
          <w:p w14:paraId="5DB7D128" w14:textId="77777777" w:rsidR="003D3B36" w:rsidRPr="00B902A7" w:rsidRDefault="003D3B36" w:rsidP="00057ACE">
            <w:pPr>
              <w:spacing w:after="0"/>
              <w:rPr>
                <w:lang w:val="en-AU"/>
              </w:rPr>
            </w:pPr>
          </w:p>
        </w:tc>
      </w:tr>
    </w:tbl>
    <w:p w14:paraId="7B666859" w14:textId="77777777" w:rsidR="00FE23F2" w:rsidRPr="001F6F5B" w:rsidRDefault="003D3B36" w:rsidP="003D3B36">
      <w:pPr>
        <w:pStyle w:val="Heading3"/>
        <w:rPr>
          <w:sz w:val="24"/>
          <w:szCs w:val="24"/>
        </w:rPr>
      </w:pPr>
      <w:r w:rsidRPr="001F6F5B">
        <w:rPr>
          <w:sz w:val="24"/>
          <w:szCs w:val="24"/>
        </w:rPr>
        <w:t>Other strategies</w:t>
      </w:r>
    </w:p>
    <w:p w14:paraId="22BE0942" w14:textId="77777777" w:rsidR="00FE23F2" w:rsidRPr="00B902A7" w:rsidRDefault="00FE23F2" w:rsidP="003D3B36">
      <w:pPr>
        <w:rPr>
          <w:lang w:val="en-AU"/>
        </w:rPr>
      </w:pPr>
      <w:r w:rsidRPr="00B902A7">
        <w:rPr>
          <w:lang w:val="en-AU"/>
        </w:rPr>
        <w:t>Provide advice below on whether you are applying any of the suggested quality strategies or any other measures and describe how these will enhance the quality of the graduates and ensure the positive impact of this initiative.</w:t>
      </w:r>
    </w:p>
    <w:tbl>
      <w:tblPr>
        <w:tblStyle w:val="TableGrid"/>
        <w:tblW w:w="0" w:type="auto"/>
        <w:tblBorders>
          <w:top w:val="single" w:sz="4" w:space="0" w:color="280070"/>
          <w:left w:val="single" w:sz="4" w:space="0" w:color="280070"/>
          <w:bottom w:val="single" w:sz="4" w:space="0" w:color="280070"/>
          <w:right w:val="single" w:sz="4" w:space="0" w:color="280070"/>
          <w:insideH w:val="none" w:sz="0" w:space="0" w:color="auto"/>
          <w:insideV w:val="none" w:sz="0" w:space="0" w:color="auto"/>
        </w:tblBorders>
        <w:tblCellMar>
          <w:top w:w="108" w:type="dxa"/>
          <w:bottom w:w="108" w:type="dxa"/>
        </w:tblCellMar>
        <w:tblLook w:val="04A0" w:firstRow="1" w:lastRow="0" w:firstColumn="1" w:lastColumn="0" w:noHBand="0" w:noVBand="1"/>
        <w:tblDescription w:val="Other strategies"/>
      </w:tblPr>
      <w:tblGrid>
        <w:gridCol w:w="9017"/>
      </w:tblGrid>
      <w:tr w:rsidR="003D3B36" w:rsidRPr="00B902A7" w14:paraId="18C2125E" w14:textId="77777777" w:rsidTr="00583ABF">
        <w:trPr>
          <w:tblHeader/>
        </w:trPr>
        <w:tc>
          <w:tcPr>
            <w:tcW w:w="9855" w:type="dxa"/>
          </w:tcPr>
          <w:p w14:paraId="6F75E43E" w14:textId="77777777" w:rsidR="003D3B36" w:rsidRPr="00B902A7" w:rsidRDefault="003D3B36" w:rsidP="00057ACE">
            <w:pPr>
              <w:spacing w:after="0"/>
              <w:rPr>
                <w:lang w:val="en-AU"/>
              </w:rPr>
            </w:pPr>
          </w:p>
        </w:tc>
      </w:tr>
    </w:tbl>
    <w:p w14:paraId="68474CBB" w14:textId="77777777" w:rsidR="005072E7" w:rsidRPr="001F6F5B" w:rsidRDefault="00E736F0" w:rsidP="003D3B36">
      <w:pPr>
        <w:pStyle w:val="Heading3"/>
        <w:rPr>
          <w:sz w:val="24"/>
          <w:szCs w:val="24"/>
        </w:rPr>
      </w:pPr>
      <w:r w:rsidRPr="001F6F5B">
        <w:rPr>
          <w:sz w:val="24"/>
          <w:szCs w:val="24"/>
        </w:rPr>
        <w:t>Requirements</w:t>
      </w:r>
      <w:r w:rsidR="00FE23F2" w:rsidRPr="001F6F5B">
        <w:rPr>
          <w:sz w:val="24"/>
          <w:szCs w:val="24"/>
        </w:rPr>
        <w:t xml:space="preserve"> </w:t>
      </w:r>
    </w:p>
    <w:p w14:paraId="41A4478F" w14:textId="77777777" w:rsidR="005072E7" w:rsidRPr="00B902A7" w:rsidRDefault="001F7DF6" w:rsidP="003D3B36">
      <w:pPr>
        <w:rPr>
          <w:lang w:val="en-AU"/>
        </w:rPr>
      </w:pPr>
      <w:r w:rsidRPr="00B902A7">
        <w:rPr>
          <w:lang w:val="en-AU"/>
        </w:rPr>
        <w:t xml:space="preserve">For the relevant subject specialisation (see </w:t>
      </w:r>
      <w:r w:rsidR="0028304A" w:rsidRPr="00B902A7">
        <w:rPr>
          <w:lang w:val="en-AU"/>
        </w:rPr>
        <w:t xml:space="preserve">relevant </w:t>
      </w:r>
      <w:r w:rsidRPr="00B902A7">
        <w:rPr>
          <w:lang w:val="en-AU"/>
        </w:rPr>
        <w:t>Appendix), p</w:t>
      </w:r>
      <w:r w:rsidR="00E736F0" w:rsidRPr="00B902A7">
        <w:rPr>
          <w:lang w:val="en-AU"/>
        </w:rPr>
        <w:t>rovide advice in the Response column below on how you view the specialisation addressing each of the requirements of the specialisation</w:t>
      </w:r>
      <w:r w:rsidR="00F83E7F" w:rsidRPr="00B902A7">
        <w:rPr>
          <w:lang w:val="en-AU"/>
        </w:rPr>
        <w:t xml:space="preserve"> and reference </w:t>
      </w:r>
      <w:r w:rsidR="00610A20" w:rsidRPr="00B902A7">
        <w:rPr>
          <w:lang w:val="en-AU"/>
        </w:rPr>
        <w:t>any</w:t>
      </w:r>
      <w:r w:rsidR="00F83E7F" w:rsidRPr="00B902A7">
        <w:rPr>
          <w:lang w:val="en-AU"/>
        </w:rPr>
        <w:t xml:space="preserve"> relevant unit/s where this is demonstrated or evidenced</w:t>
      </w:r>
      <w:r w:rsidR="002F0708" w:rsidRPr="00B902A7">
        <w:rPr>
          <w:lang w:val="en-AU"/>
        </w:rPr>
        <w:t>.</w:t>
      </w:r>
    </w:p>
    <w:tbl>
      <w:tblPr>
        <w:tblStyle w:val="TableGrid"/>
        <w:tblW w:w="0" w:type="auto"/>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CellMar>
          <w:top w:w="108" w:type="dxa"/>
          <w:bottom w:w="108" w:type="dxa"/>
        </w:tblCellMar>
        <w:tblLook w:val="04A0" w:firstRow="1" w:lastRow="0" w:firstColumn="1" w:lastColumn="0" w:noHBand="0" w:noVBand="1"/>
        <w:tblDescription w:val="Requirements"/>
      </w:tblPr>
      <w:tblGrid>
        <w:gridCol w:w="1787"/>
        <w:gridCol w:w="7230"/>
      </w:tblGrid>
      <w:tr w:rsidR="00057ACE" w:rsidRPr="00B902A7" w14:paraId="0F59681D" w14:textId="77777777" w:rsidTr="00583ABF">
        <w:trPr>
          <w:tblHeader/>
        </w:trPr>
        <w:tc>
          <w:tcPr>
            <w:tcW w:w="1809" w:type="dxa"/>
          </w:tcPr>
          <w:p w14:paraId="68F01C1D" w14:textId="6EAD52CE" w:rsidR="00057ACE" w:rsidRPr="00B902A7" w:rsidRDefault="00057ACE" w:rsidP="00057ACE">
            <w:pPr>
              <w:spacing w:after="0"/>
              <w:rPr>
                <w:b/>
                <w:lang w:val="en-AU"/>
              </w:rPr>
            </w:pPr>
            <w:r w:rsidRPr="00B902A7">
              <w:rPr>
                <w:b/>
                <w:lang w:val="en-AU"/>
              </w:rPr>
              <w:t>Name</w:t>
            </w:r>
          </w:p>
        </w:tc>
        <w:tc>
          <w:tcPr>
            <w:tcW w:w="8046" w:type="dxa"/>
          </w:tcPr>
          <w:p w14:paraId="5E737B98" w14:textId="52F97E27" w:rsidR="00057ACE" w:rsidRPr="00B902A7" w:rsidRDefault="00583ABF" w:rsidP="00057ACE">
            <w:pPr>
              <w:spacing w:after="0"/>
              <w:rPr>
                <w:lang w:val="en-AU"/>
              </w:rPr>
            </w:pPr>
            <w:r w:rsidRPr="00B902A7">
              <w:rPr>
                <w:lang w:val="en-AU"/>
              </w:rPr>
              <w:t xml:space="preserve"> </w:t>
            </w:r>
          </w:p>
        </w:tc>
      </w:tr>
      <w:tr w:rsidR="00057ACE" w:rsidRPr="00B902A7" w14:paraId="3C851522" w14:textId="77777777" w:rsidTr="00583ABF">
        <w:tc>
          <w:tcPr>
            <w:tcW w:w="1809" w:type="dxa"/>
          </w:tcPr>
          <w:p w14:paraId="73FBD79B" w14:textId="0A4E94F6" w:rsidR="00057ACE" w:rsidRPr="00B902A7" w:rsidRDefault="00057ACE" w:rsidP="00057ACE">
            <w:pPr>
              <w:spacing w:after="0"/>
              <w:rPr>
                <w:b/>
                <w:lang w:val="en-AU"/>
              </w:rPr>
            </w:pPr>
            <w:r w:rsidRPr="00B902A7">
              <w:rPr>
                <w:b/>
                <w:lang w:val="en-AU"/>
              </w:rPr>
              <w:t>Title/Position</w:t>
            </w:r>
          </w:p>
        </w:tc>
        <w:tc>
          <w:tcPr>
            <w:tcW w:w="8046" w:type="dxa"/>
          </w:tcPr>
          <w:p w14:paraId="1F8B428E" w14:textId="48698186" w:rsidR="00057ACE" w:rsidRPr="00B902A7" w:rsidRDefault="00583ABF" w:rsidP="00057ACE">
            <w:pPr>
              <w:spacing w:after="0"/>
              <w:rPr>
                <w:lang w:val="en-AU"/>
              </w:rPr>
            </w:pPr>
            <w:r w:rsidRPr="00B902A7">
              <w:rPr>
                <w:lang w:val="en-AU"/>
              </w:rPr>
              <w:t xml:space="preserve"> </w:t>
            </w:r>
          </w:p>
        </w:tc>
      </w:tr>
      <w:tr w:rsidR="00057ACE" w:rsidRPr="00B902A7" w14:paraId="24009BB3" w14:textId="77777777" w:rsidTr="00583ABF">
        <w:tc>
          <w:tcPr>
            <w:tcW w:w="1809" w:type="dxa"/>
          </w:tcPr>
          <w:p w14:paraId="58888122" w14:textId="03B5590B" w:rsidR="00057ACE" w:rsidRPr="00B902A7" w:rsidRDefault="00057ACE" w:rsidP="00057ACE">
            <w:pPr>
              <w:spacing w:after="0"/>
              <w:rPr>
                <w:b/>
                <w:lang w:val="en-AU"/>
              </w:rPr>
            </w:pPr>
            <w:r w:rsidRPr="00B902A7">
              <w:rPr>
                <w:b/>
                <w:lang w:val="en-AU"/>
              </w:rPr>
              <w:t>Email</w:t>
            </w:r>
          </w:p>
        </w:tc>
        <w:tc>
          <w:tcPr>
            <w:tcW w:w="8046" w:type="dxa"/>
          </w:tcPr>
          <w:p w14:paraId="07CECFA5" w14:textId="129AC5FA" w:rsidR="00057ACE" w:rsidRPr="00B902A7" w:rsidRDefault="00583ABF" w:rsidP="00057ACE">
            <w:pPr>
              <w:spacing w:after="0"/>
              <w:rPr>
                <w:lang w:val="en-AU"/>
              </w:rPr>
            </w:pPr>
            <w:r w:rsidRPr="00B902A7">
              <w:rPr>
                <w:lang w:val="en-AU"/>
              </w:rPr>
              <w:t xml:space="preserve"> </w:t>
            </w:r>
          </w:p>
        </w:tc>
      </w:tr>
      <w:tr w:rsidR="00057ACE" w:rsidRPr="00B902A7" w14:paraId="73ED38EA" w14:textId="77777777" w:rsidTr="00583ABF">
        <w:tc>
          <w:tcPr>
            <w:tcW w:w="1809" w:type="dxa"/>
          </w:tcPr>
          <w:p w14:paraId="4661E2B1" w14:textId="5F25ACE6" w:rsidR="00057ACE" w:rsidRPr="00B902A7" w:rsidRDefault="00057ACE" w:rsidP="00057ACE">
            <w:pPr>
              <w:spacing w:after="0"/>
              <w:rPr>
                <w:b/>
                <w:lang w:val="en-AU"/>
              </w:rPr>
            </w:pPr>
            <w:r w:rsidRPr="00B902A7">
              <w:rPr>
                <w:b/>
                <w:lang w:val="en-AU"/>
              </w:rPr>
              <w:t>Telephone</w:t>
            </w:r>
          </w:p>
        </w:tc>
        <w:tc>
          <w:tcPr>
            <w:tcW w:w="8046" w:type="dxa"/>
          </w:tcPr>
          <w:p w14:paraId="344270C6" w14:textId="56A9C88F" w:rsidR="00057ACE" w:rsidRPr="00B902A7" w:rsidRDefault="00583ABF" w:rsidP="00057ACE">
            <w:pPr>
              <w:spacing w:after="0"/>
              <w:rPr>
                <w:lang w:val="en-AU"/>
              </w:rPr>
            </w:pPr>
            <w:r w:rsidRPr="00B902A7">
              <w:rPr>
                <w:lang w:val="en-AU"/>
              </w:rPr>
              <w:t xml:space="preserve"> </w:t>
            </w:r>
          </w:p>
        </w:tc>
      </w:tr>
    </w:tbl>
    <w:p w14:paraId="6AAD5A74" w14:textId="77777777" w:rsidR="001F7DF6" w:rsidRPr="00B902A7" w:rsidRDefault="001F7DF6">
      <w:pPr>
        <w:rPr>
          <w:rFonts w:cs="Arial"/>
          <w:sz w:val="20"/>
          <w:szCs w:val="20"/>
          <w:lang w:val="en-AU"/>
        </w:rPr>
      </w:pPr>
      <w:r w:rsidRPr="00B902A7">
        <w:rPr>
          <w:rFonts w:cs="Arial"/>
          <w:sz w:val="20"/>
          <w:szCs w:val="20"/>
          <w:lang w:val="en-AU"/>
        </w:rPr>
        <w:br w:type="page"/>
      </w:r>
    </w:p>
    <w:p w14:paraId="70711796" w14:textId="6BDABF81" w:rsidR="00FE23F2" w:rsidRPr="00B902A7" w:rsidRDefault="00057ACE" w:rsidP="00057ACE">
      <w:pPr>
        <w:pStyle w:val="Heading2"/>
        <w:rPr>
          <w:lang w:val="en-AU"/>
        </w:rPr>
      </w:pPr>
      <w:r w:rsidRPr="00B902A7">
        <w:rPr>
          <w:lang w:val="en-AU"/>
        </w:rPr>
        <w:lastRenderedPageBreak/>
        <w:t>Appendix 1 – Requirements for Mathematics</w:t>
      </w:r>
    </w:p>
    <w:tbl>
      <w:tblPr>
        <w:tblW w:w="5000" w:type="pct"/>
        <w:tblInd w:w="-34" w:type="dxa"/>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Layout w:type="fixed"/>
        <w:tblCellMar>
          <w:top w:w="108" w:type="dxa"/>
          <w:bottom w:w="108" w:type="dxa"/>
        </w:tblCellMar>
        <w:tblLook w:val="01E0" w:firstRow="1" w:lastRow="1" w:firstColumn="1" w:lastColumn="1" w:noHBand="0" w:noVBand="0"/>
      </w:tblPr>
      <w:tblGrid>
        <w:gridCol w:w="4541"/>
        <w:gridCol w:w="4476"/>
      </w:tblGrid>
      <w:tr w:rsidR="00057ACE" w:rsidRPr="00B902A7" w14:paraId="29467740" w14:textId="77777777" w:rsidTr="00057ACE">
        <w:tc>
          <w:tcPr>
            <w:tcW w:w="2518" w:type="pct"/>
            <w:shd w:val="clear" w:color="auto" w:fill="FFFFFF" w:themeFill="background1"/>
            <w:vAlign w:val="center"/>
          </w:tcPr>
          <w:p w14:paraId="29FE4A12" w14:textId="77777777" w:rsidR="005072E7" w:rsidRPr="00B902A7" w:rsidRDefault="005072E7" w:rsidP="00057ACE">
            <w:pPr>
              <w:pStyle w:val="Heading4"/>
              <w:spacing w:before="0" w:after="0"/>
              <w:rPr>
                <w:u w:val="single"/>
              </w:rPr>
            </w:pPr>
            <w:r w:rsidRPr="00B902A7">
              <w:t xml:space="preserve">Requirements for </w:t>
            </w:r>
            <w:r w:rsidR="00E736F0" w:rsidRPr="00B902A7">
              <w:t xml:space="preserve">the </w:t>
            </w:r>
            <w:r w:rsidRPr="00B902A7">
              <w:t>Specialisation</w:t>
            </w:r>
          </w:p>
        </w:tc>
        <w:tc>
          <w:tcPr>
            <w:tcW w:w="2482" w:type="pct"/>
            <w:shd w:val="clear" w:color="auto" w:fill="FFFFFF" w:themeFill="background1"/>
            <w:vAlign w:val="center"/>
          </w:tcPr>
          <w:p w14:paraId="1B6C6AB6" w14:textId="77777777" w:rsidR="005072E7" w:rsidRPr="00B902A7" w:rsidRDefault="005072E7" w:rsidP="00057ACE">
            <w:pPr>
              <w:pStyle w:val="Heading4"/>
              <w:spacing w:before="0" w:after="0"/>
            </w:pPr>
            <w:r w:rsidRPr="00B902A7">
              <w:t>Response to the Requirement</w:t>
            </w:r>
          </w:p>
        </w:tc>
      </w:tr>
      <w:tr w:rsidR="005072E7" w:rsidRPr="00B902A7" w14:paraId="741A39CE" w14:textId="77777777" w:rsidTr="00057ACE">
        <w:trPr>
          <w:trHeight w:val="827"/>
        </w:trPr>
        <w:tc>
          <w:tcPr>
            <w:tcW w:w="2518" w:type="pct"/>
            <w:shd w:val="clear" w:color="auto" w:fill="FFFFFF" w:themeFill="background1"/>
          </w:tcPr>
          <w:p w14:paraId="0F598F65" w14:textId="77777777" w:rsidR="005072E7" w:rsidRPr="00B902A7" w:rsidRDefault="005072E7" w:rsidP="00057ACE">
            <w:pPr>
              <w:spacing w:after="0"/>
              <w:rPr>
                <w:b/>
                <w:u w:val="single"/>
                <w:lang w:val="en-AU"/>
              </w:rPr>
            </w:pPr>
            <w:r w:rsidRPr="00B902A7">
              <w:rPr>
                <w:lang w:val="en-AU"/>
              </w:rPr>
              <w:t>Reflect the careful and deliberate scaffolding of mathematics discipline studies and mathematics discipline-specific curriculum and pedagogical studies</w:t>
            </w:r>
          </w:p>
        </w:tc>
        <w:tc>
          <w:tcPr>
            <w:tcW w:w="2482" w:type="pct"/>
          </w:tcPr>
          <w:p w14:paraId="79DED18E" w14:textId="77777777" w:rsidR="005072E7" w:rsidRPr="00B902A7" w:rsidRDefault="005072E7" w:rsidP="00057ACE">
            <w:pPr>
              <w:spacing w:after="0"/>
              <w:rPr>
                <w:lang w:val="en-AU"/>
              </w:rPr>
            </w:pPr>
          </w:p>
        </w:tc>
      </w:tr>
      <w:tr w:rsidR="005072E7" w:rsidRPr="00B902A7" w14:paraId="47F4C4C8" w14:textId="77777777" w:rsidTr="00057ACE">
        <w:tc>
          <w:tcPr>
            <w:tcW w:w="2518" w:type="pct"/>
            <w:shd w:val="clear" w:color="auto" w:fill="FFFFFF" w:themeFill="background1"/>
          </w:tcPr>
          <w:p w14:paraId="2D28928B" w14:textId="77777777" w:rsidR="005072E7" w:rsidRPr="00B902A7" w:rsidRDefault="005072E7" w:rsidP="00057ACE">
            <w:pPr>
              <w:spacing w:after="0"/>
              <w:rPr>
                <w:b/>
                <w:u w:val="single"/>
                <w:lang w:val="en-AU"/>
              </w:rPr>
            </w:pPr>
            <w:r w:rsidRPr="00B902A7">
              <w:rPr>
                <w:lang w:val="en-AU"/>
              </w:rPr>
              <w:t>Equip teacher education graduates with a deep understanding of the processes specific to mathematics and relevant, emerging technologies and practices</w:t>
            </w:r>
          </w:p>
        </w:tc>
        <w:tc>
          <w:tcPr>
            <w:tcW w:w="2482" w:type="pct"/>
          </w:tcPr>
          <w:p w14:paraId="088A97F8" w14:textId="77777777" w:rsidR="005072E7" w:rsidRPr="00B902A7" w:rsidRDefault="005072E7" w:rsidP="00057ACE">
            <w:pPr>
              <w:spacing w:after="0"/>
              <w:rPr>
                <w:lang w:val="en-AU"/>
              </w:rPr>
            </w:pPr>
          </w:p>
        </w:tc>
      </w:tr>
      <w:tr w:rsidR="005072E7" w:rsidRPr="00B902A7" w14:paraId="0013F782" w14:textId="77777777" w:rsidTr="00057ACE">
        <w:tc>
          <w:tcPr>
            <w:tcW w:w="2518" w:type="pct"/>
            <w:shd w:val="clear" w:color="auto" w:fill="FFFFFF" w:themeFill="background1"/>
          </w:tcPr>
          <w:p w14:paraId="142E15A2" w14:textId="77777777" w:rsidR="005072E7" w:rsidRPr="00B902A7" w:rsidRDefault="005072E7" w:rsidP="00057ACE">
            <w:pPr>
              <w:spacing w:after="0"/>
              <w:rPr>
                <w:lang w:val="en-AU"/>
              </w:rPr>
            </w:pPr>
            <w:r w:rsidRPr="00B902A7">
              <w:rPr>
                <w:lang w:val="en-AU"/>
              </w:rPr>
              <w:t>Support teacher education graduates to be stimulated by and gain confidence in the complex aspects of mathematics</w:t>
            </w:r>
          </w:p>
        </w:tc>
        <w:tc>
          <w:tcPr>
            <w:tcW w:w="2482" w:type="pct"/>
          </w:tcPr>
          <w:p w14:paraId="4700ADAF" w14:textId="77777777" w:rsidR="005072E7" w:rsidRPr="00B902A7" w:rsidRDefault="005072E7" w:rsidP="00057ACE">
            <w:pPr>
              <w:spacing w:after="0"/>
              <w:rPr>
                <w:lang w:val="en-AU"/>
              </w:rPr>
            </w:pPr>
          </w:p>
        </w:tc>
      </w:tr>
      <w:tr w:rsidR="005072E7" w:rsidRPr="00B902A7" w14:paraId="6CC57FAB" w14:textId="77777777" w:rsidTr="00057ACE">
        <w:tc>
          <w:tcPr>
            <w:tcW w:w="2518" w:type="pct"/>
            <w:shd w:val="clear" w:color="auto" w:fill="FFFFFF" w:themeFill="background1"/>
          </w:tcPr>
          <w:p w14:paraId="190ADD0B" w14:textId="6F5D8ADF" w:rsidR="005072E7" w:rsidRPr="00B902A7" w:rsidRDefault="005072E7" w:rsidP="00057ACE">
            <w:pPr>
              <w:rPr>
                <w:lang w:val="en-AU"/>
              </w:rPr>
            </w:pPr>
            <w:r w:rsidRPr="00B902A7">
              <w:rPr>
                <w:lang w:val="en-AU"/>
              </w:rPr>
              <w:t>Develop comprehensive discipline-specific curriculum and pedagogical knowledge relevant to the NSW K–6 syllabus and competence in using effective pedagogies across all st</w:t>
            </w:r>
            <w:r w:rsidR="00057ACE" w:rsidRPr="00B902A7">
              <w:rPr>
                <w:lang w:val="en-AU"/>
              </w:rPr>
              <w:t>ages of primary schooling focus</w:t>
            </w:r>
            <w:r w:rsidRPr="00B902A7">
              <w:rPr>
                <w:lang w:val="en-AU"/>
              </w:rPr>
              <w:t xml:space="preserve">ing on: </w:t>
            </w:r>
          </w:p>
          <w:p w14:paraId="50CEA5EB" w14:textId="77777777" w:rsidR="005072E7" w:rsidRPr="00B902A7" w:rsidRDefault="005072E7" w:rsidP="00057ACE">
            <w:pPr>
              <w:pStyle w:val="ListParagraph"/>
            </w:pPr>
            <w:r w:rsidRPr="00B902A7">
              <w:t xml:space="preserve">the breadth, depth and sequence of learning in mathematics; </w:t>
            </w:r>
          </w:p>
          <w:p w14:paraId="22C01556" w14:textId="77777777" w:rsidR="005072E7" w:rsidRPr="00B902A7" w:rsidRDefault="005072E7" w:rsidP="00057ACE">
            <w:pPr>
              <w:pStyle w:val="ListParagraph"/>
            </w:pPr>
            <w:r w:rsidRPr="00B902A7">
              <w:t>excellent programming skills based on a sound understanding of providing the necessary mathematical foundations for a diverse range of learners, as well as effective student assessment and diagnostic practices;</w:t>
            </w:r>
          </w:p>
          <w:p w14:paraId="3DFF5A43" w14:textId="77777777" w:rsidR="005072E7" w:rsidRPr="00B902A7" w:rsidRDefault="005072E7" w:rsidP="00057ACE">
            <w:pPr>
              <w:pStyle w:val="ListParagraph"/>
            </w:pPr>
            <w:r w:rsidRPr="00B902A7">
              <w:t>a comprehensive integration of ICTs and digital technologies</w:t>
            </w:r>
          </w:p>
          <w:p w14:paraId="083683E6" w14:textId="77777777" w:rsidR="005072E7" w:rsidRPr="00B902A7" w:rsidRDefault="005072E7" w:rsidP="00057ACE">
            <w:pPr>
              <w:pStyle w:val="ListParagraph"/>
            </w:pPr>
            <w:r w:rsidRPr="00B902A7">
              <w:t>skills in supporting cross-curriculum integration of numeracy</w:t>
            </w:r>
          </w:p>
        </w:tc>
        <w:tc>
          <w:tcPr>
            <w:tcW w:w="2482" w:type="pct"/>
          </w:tcPr>
          <w:p w14:paraId="2E6ED3F1" w14:textId="77777777" w:rsidR="005072E7" w:rsidRPr="00B902A7" w:rsidRDefault="005072E7" w:rsidP="00057ACE">
            <w:pPr>
              <w:spacing w:after="0"/>
              <w:rPr>
                <w:lang w:val="en-AU"/>
              </w:rPr>
            </w:pPr>
          </w:p>
        </w:tc>
      </w:tr>
      <w:tr w:rsidR="005072E7" w:rsidRPr="00B902A7" w14:paraId="4DFB007E" w14:textId="77777777" w:rsidTr="00057ACE">
        <w:tc>
          <w:tcPr>
            <w:tcW w:w="2518" w:type="pct"/>
            <w:shd w:val="clear" w:color="auto" w:fill="FFFFFF" w:themeFill="background1"/>
          </w:tcPr>
          <w:p w14:paraId="6FBFA905" w14:textId="77777777" w:rsidR="005072E7" w:rsidRPr="00B902A7" w:rsidRDefault="005072E7" w:rsidP="00057ACE">
            <w:pPr>
              <w:spacing w:after="0"/>
              <w:rPr>
                <w:lang w:val="en-AU"/>
              </w:rPr>
            </w:pPr>
            <w:r w:rsidRPr="00B902A7">
              <w:rPr>
                <w:lang w:val="en-AU"/>
              </w:rPr>
              <w:t>Equip graduate teachers to be competent and confident users of a range of effective teaching approaches that foster school student inquiry, innovative thinking and student confidence in conducting investigations and solving mathematical problems</w:t>
            </w:r>
          </w:p>
        </w:tc>
        <w:tc>
          <w:tcPr>
            <w:tcW w:w="2482" w:type="pct"/>
          </w:tcPr>
          <w:p w14:paraId="26C42638" w14:textId="77777777" w:rsidR="005072E7" w:rsidRPr="00B902A7" w:rsidRDefault="005072E7" w:rsidP="00057ACE">
            <w:pPr>
              <w:spacing w:after="0"/>
              <w:rPr>
                <w:lang w:val="en-AU"/>
              </w:rPr>
            </w:pPr>
          </w:p>
        </w:tc>
      </w:tr>
    </w:tbl>
    <w:p w14:paraId="371849D5" w14:textId="77777777" w:rsidR="001F7DF6" w:rsidRPr="00B902A7" w:rsidRDefault="001F7DF6">
      <w:pPr>
        <w:rPr>
          <w:rFonts w:cs="Arial"/>
          <w:b/>
          <w:sz w:val="20"/>
          <w:szCs w:val="20"/>
          <w:lang w:val="en-AU"/>
        </w:rPr>
      </w:pPr>
      <w:r w:rsidRPr="00B902A7">
        <w:rPr>
          <w:rFonts w:cs="Arial"/>
          <w:b/>
          <w:sz w:val="20"/>
          <w:szCs w:val="20"/>
          <w:lang w:val="en-AU"/>
        </w:rPr>
        <w:br w:type="page"/>
      </w:r>
    </w:p>
    <w:p w14:paraId="0459FB1E" w14:textId="6EBC1B63" w:rsidR="00FE23F2" w:rsidRPr="00B902A7" w:rsidRDefault="00057ACE" w:rsidP="00057ACE">
      <w:pPr>
        <w:pStyle w:val="Heading2"/>
        <w:rPr>
          <w:lang w:val="en-AU"/>
        </w:rPr>
      </w:pPr>
      <w:r w:rsidRPr="00B902A7">
        <w:rPr>
          <w:lang w:val="en-AU"/>
        </w:rPr>
        <w:lastRenderedPageBreak/>
        <w:t>Appendix 2 – Requirements for Science &amp; Technology</w:t>
      </w:r>
    </w:p>
    <w:tbl>
      <w:tblPr>
        <w:tblW w:w="5000" w:type="pct"/>
        <w:tblInd w:w="-34" w:type="dxa"/>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Layout w:type="fixed"/>
        <w:tblCellMar>
          <w:top w:w="108" w:type="dxa"/>
          <w:bottom w:w="108" w:type="dxa"/>
        </w:tblCellMar>
        <w:tblLook w:val="01E0" w:firstRow="1" w:lastRow="1" w:firstColumn="1" w:lastColumn="1" w:noHBand="0" w:noVBand="0"/>
        <w:tblDescription w:val="Appendix 2 – Requirements for Science &amp; Technology"/>
      </w:tblPr>
      <w:tblGrid>
        <w:gridCol w:w="4541"/>
        <w:gridCol w:w="4476"/>
      </w:tblGrid>
      <w:tr w:rsidR="00057ACE" w:rsidRPr="00B902A7" w14:paraId="17439577" w14:textId="77777777" w:rsidTr="00AF358E">
        <w:trPr>
          <w:tblHeader/>
        </w:trPr>
        <w:tc>
          <w:tcPr>
            <w:tcW w:w="2518" w:type="pct"/>
            <w:shd w:val="clear" w:color="auto" w:fill="FFFFFF" w:themeFill="background1"/>
            <w:vAlign w:val="center"/>
          </w:tcPr>
          <w:p w14:paraId="193D4E43" w14:textId="77777777" w:rsidR="00FE23F2" w:rsidRPr="00B902A7" w:rsidRDefault="00FE23F2" w:rsidP="00057ACE">
            <w:pPr>
              <w:pStyle w:val="Heading4"/>
              <w:spacing w:before="0" w:after="0"/>
              <w:rPr>
                <w:u w:val="single"/>
              </w:rPr>
            </w:pPr>
            <w:r w:rsidRPr="00B902A7">
              <w:t>Requirements for the Specialisation</w:t>
            </w:r>
          </w:p>
        </w:tc>
        <w:tc>
          <w:tcPr>
            <w:tcW w:w="2482" w:type="pct"/>
            <w:shd w:val="clear" w:color="auto" w:fill="FFFFFF" w:themeFill="background1"/>
            <w:vAlign w:val="center"/>
          </w:tcPr>
          <w:p w14:paraId="5FF00D85" w14:textId="77777777" w:rsidR="00FE23F2" w:rsidRPr="00B902A7" w:rsidRDefault="00FE23F2" w:rsidP="00057ACE">
            <w:pPr>
              <w:pStyle w:val="Heading4"/>
              <w:spacing w:before="0" w:after="0"/>
            </w:pPr>
            <w:r w:rsidRPr="00B902A7">
              <w:t>Response to the Requirement</w:t>
            </w:r>
          </w:p>
        </w:tc>
      </w:tr>
      <w:tr w:rsidR="00057ACE" w:rsidRPr="00B902A7" w14:paraId="5926E854" w14:textId="77777777" w:rsidTr="00AF358E">
        <w:trPr>
          <w:trHeight w:val="827"/>
          <w:tblHeader/>
        </w:trPr>
        <w:tc>
          <w:tcPr>
            <w:tcW w:w="2518" w:type="pct"/>
            <w:shd w:val="clear" w:color="auto" w:fill="FFFFFF" w:themeFill="background1"/>
          </w:tcPr>
          <w:p w14:paraId="16C9AA29" w14:textId="77777777" w:rsidR="00FE23F2" w:rsidRPr="00B902A7" w:rsidRDefault="00FE23F2" w:rsidP="00057ACE">
            <w:pPr>
              <w:spacing w:after="0"/>
              <w:rPr>
                <w:b/>
                <w:u w:val="single"/>
                <w:lang w:val="en-AU"/>
              </w:rPr>
            </w:pPr>
            <w:r w:rsidRPr="00B902A7">
              <w:rPr>
                <w:lang w:val="en-AU"/>
              </w:rPr>
              <w:t xml:space="preserve">Reflect the careful and deliberate scaffolding of </w:t>
            </w:r>
            <w:r w:rsidR="00B1068A" w:rsidRPr="00B902A7">
              <w:rPr>
                <w:lang w:val="en-AU"/>
              </w:rPr>
              <w:t>science and technology</w:t>
            </w:r>
            <w:r w:rsidRPr="00B902A7">
              <w:rPr>
                <w:lang w:val="en-AU"/>
              </w:rPr>
              <w:t xml:space="preserve"> discipline studies and science &amp; technology discipline-specific curriculum and pedagogical studies</w:t>
            </w:r>
          </w:p>
        </w:tc>
        <w:tc>
          <w:tcPr>
            <w:tcW w:w="2482" w:type="pct"/>
          </w:tcPr>
          <w:p w14:paraId="519195A6" w14:textId="77777777" w:rsidR="00FE23F2" w:rsidRPr="00B902A7" w:rsidRDefault="00FE23F2" w:rsidP="00057ACE">
            <w:pPr>
              <w:spacing w:after="0"/>
              <w:rPr>
                <w:b/>
                <w:lang w:val="en-AU"/>
              </w:rPr>
            </w:pPr>
          </w:p>
        </w:tc>
      </w:tr>
      <w:tr w:rsidR="00057ACE" w:rsidRPr="00B902A7" w14:paraId="0F1A8F03" w14:textId="77777777" w:rsidTr="00AF358E">
        <w:trPr>
          <w:tblHeader/>
        </w:trPr>
        <w:tc>
          <w:tcPr>
            <w:tcW w:w="2518" w:type="pct"/>
            <w:shd w:val="clear" w:color="auto" w:fill="FFFFFF" w:themeFill="background1"/>
          </w:tcPr>
          <w:p w14:paraId="44ABD55A" w14:textId="77777777" w:rsidR="00FE23F2" w:rsidRPr="00B902A7" w:rsidRDefault="00FE23F2" w:rsidP="00057ACE">
            <w:pPr>
              <w:spacing w:after="0"/>
              <w:rPr>
                <w:b/>
                <w:u w:val="single"/>
                <w:lang w:val="en-AU"/>
              </w:rPr>
            </w:pPr>
            <w:r w:rsidRPr="00B902A7">
              <w:rPr>
                <w:lang w:val="en-AU"/>
              </w:rPr>
              <w:t>Equip teacher education graduates with a deep understanding of the processes specific to science &amp; technology and relevant, emerging technologies and practices</w:t>
            </w:r>
          </w:p>
        </w:tc>
        <w:tc>
          <w:tcPr>
            <w:tcW w:w="2482" w:type="pct"/>
          </w:tcPr>
          <w:p w14:paraId="0F24BAAF" w14:textId="77777777" w:rsidR="00FE23F2" w:rsidRPr="00B902A7" w:rsidRDefault="00FE23F2" w:rsidP="00057ACE">
            <w:pPr>
              <w:spacing w:after="0"/>
              <w:rPr>
                <w:lang w:val="en-AU"/>
              </w:rPr>
            </w:pPr>
          </w:p>
        </w:tc>
      </w:tr>
      <w:tr w:rsidR="00057ACE" w:rsidRPr="00B902A7" w14:paraId="67299A0B" w14:textId="77777777" w:rsidTr="00AF358E">
        <w:trPr>
          <w:tblHeader/>
        </w:trPr>
        <w:tc>
          <w:tcPr>
            <w:tcW w:w="2518" w:type="pct"/>
            <w:shd w:val="clear" w:color="auto" w:fill="FFFFFF" w:themeFill="background1"/>
          </w:tcPr>
          <w:p w14:paraId="08ED2BDA" w14:textId="77777777" w:rsidR="00FE23F2" w:rsidRPr="00B902A7" w:rsidRDefault="00FE23F2" w:rsidP="00057ACE">
            <w:pPr>
              <w:spacing w:after="0"/>
              <w:rPr>
                <w:lang w:val="en-AU"/>
              </w:rPr>
            </w:pPr>
            <w:r w:rsidRPr="00B902A7">
              <w:rPr>
                <w:lang w:val="en-AU"/>
              </w:rPr>
              <w:t>Support teacher education graduates to be stimulated by and gain confidence in the complex aspects of science &amp; technology</w:t>
            </w:r>
          </w:p>
        </w:tc>
        <w:tc>
          <w:tcPr>
            <w:tcW w:w="2482" w:type="pct"/>
          </w:tcPr>
          <w:p w14:paraId="0DB801CC" w14:textId="77777777" w:rsidR="00FE23F2" w:rsidRPr="00B902A7" w:rsidRDefault="00FE23F2" w:rsidP="00057ACE">
            <w:pPr>
              <w:spacing w:after="0"/>
              <w:rPr>
                <w:lang w:val="en-AU"/>
              </w:rPr>
            </w:pPr>
          </w:p>
        </w:tc>
      </w:tr>
      <w:tr w:rsidR="00057ACE" w:rsidRPr="00B902A7" w14:paraId="43B11728" w14:textId="77777777" w:rsidTr="00AF358E">
        <w:trPr>
          <w:tblHeader/>
        </w:trPr>
        <w:tc>
          <w:tcPr>
            <w:tcW w:w="2518" w:type="pct"/>
            <w:shd w:val="clear" w:color="auto" w:fill="FFFFFF" w:themeFill="background1"/>
          </w:tcPr>
          <w:p w14:paraId="420774E8" w14:textId="68F148FA" w:rsidR="00FE23F2" w:rsidRPr="00B902A7" w:rsidRDefault="00FE23F2" w:rsidP="00057ACE">
            <w:pPr>
              <w:rPr>
                <w:lang w:val="en-AU"/>
              </w:rPr>
            </w:pPr>
            <w:r w:rsidRPr="00B902A7">
              <w:rPr>
                <w:lang w:val="en-AU"/>
              </w:rPr>
              <w:t>Develop comprehensive discipline-specific curriculum and pedagogical knowledge relevant to the NSW K–6 syllabus and competence in using effective pedagogies across all st</w:t>
            </w:r>
            <w:r w:rsidR="00057ACE" w:rsidRPr="00B902A7">
              <w:rPr>
                <w:lang w:val="en-AU"/>
              </w:rPr>
              <w:t>ages of primary schooling focus</w:t>
            </w:r>
            <w:r w:rsidRPr="00B902A7">
              <w:rPr>
                <w:lang w:val="en-AU"/>
              </w:rPr>
              <w:t xml:space="preserve">ing on: </w:t>
            </w:r>
          </w:p>
          <w:p w14:paraId="331CCB1D" w14:textId="77777777" w:rsidR="00FE23F2" w:rsidRPr="00B902A7" w:rsidRDefault="00FE23F2" w:rsidP="00057ACE">
            <w:pPr>
              <w:pStyle w:val="ListParagraph"/>
            </w:pPr>
            <w:r w:rsidRPr="00B902A7">
              <w:t xml:space="preserve">the breadth, depth and sequence of learning in </w:t>
            </w:r>
            <w:r w:rsidR="001B5847" w:rsidRPr="00B902A7">
              <w:t>science and technology</w:t>
            </w:r>
            <w:r w:rsidRPr="00B902A7">
              <w:t xml:space="preserve">; </w:t>
            </w:r>
          </w:p>
          <w:p w14:paraId="72A8E169" w14:textId="77777777" w:rsidR="00FE23F2" w:rsidRPr="00B902A7" w:rsidRDefault="00FE23F2" w:rsidP="00057ACE">
            <w:pPr>
              <w:pStyle w:val="ListParagraph"/>
            </w:pPr>
            <w:r w:rsidRPr="00B902A7">
              <w:t>excellent programming skills based on a sound understanding of providing the necessary mathematical foundations for a diverse range of learners, as well as effective student assessment and diagnostic practices;</w:t>
            </w:r>
          </w:p>
          <w:p w14:paraId="53DC7D18" w14:textId="77777777" w:rsidR="00FE23F2" w:rsidRPr="00B902A7" w:rsidRDefault="00FE23F2" w:rsidP="00057ACE">
            <w:pPr>
              <w:pStyle w:val="ListParagraph"/>
            </w:pPr>
            <w:r w:rsidRPr="00B902A7">
              <w:t>a comprehensive integration of ICTs and digital technologies</w:t>
            </w:r>
          </w:p>
        </w:tc>
        <w:tc>
          <w:tcPr>
            <w:tcW w:w="2482" w:type="pct"/>
          </w:tcPr>
          <w:p w14:paraId="4CB7D69D" w14:textId="77777777" w:rsidR="00FE23F2" w:rsidRPr="00B902A7" w:rsidRDefault="00FE23F2" w:rsidP="00057ACE">
            <w:pPr>
              <w:spacing w:after="0"/>
              <w:rPr>
                <w:lang w:val="en-AU"/>
              </w:rPr>
            </w:pPr>
          </w:p>
        </w:tc>
      </w:tr>
      <w:tr w:rsidR="00057ACE" w:rsidRPr="00B902A7" w14:paraId="27AD913E" w14:textId="77777777" w:rsidTr="00AF358E">
        <w:trPr>
          <w:tblHeader/>
        </w:trPr>
        <w:tc>
          <w:tcPr>
            <w:tcW w:w="2518" w:type="pct"/>
            <w:shd w:val="clear" w:color="auto" w:fill="FFFFFF" w:themeFill="background1"/>
          </w:tcPr>
          <w:p w14:paraId="7BD2365D" w14:textId="77777777" w:rsidR="00FE23F2" w:rsidRPr="00B902A7" w:rsidRDefault="00FE23F2" w:rsidP="00057ACE">
            <w:pPr>
              <w:spacing w:after="0"/>
              <w:rPr>
                <w:lang w:val="en-AU"/>
              </w:rPr>
            </w:pPr>
            <w:r w:rsidRPr="00B902A7">
              <w:rPr>
                <w:lang w:val="en-AU"/>
              </w:rPr>
              <w:t>Equip graduate teachers to be competent and confident users of a range of effective teaching approaches that foster school student inquiry, innovative thinking and student confidence in conducting investigations and solving scientific &amp; technological problems</w:t>
            </w:r>
          </w:p>
        </w:tc>
        <w:tc>
          <w:tcPr>
            <w:tcW w:w="2482" w:type="pct"/>
          </w:tcPr>
          <w:p w14:paraId="4A7C9003" w14:textId="77777777" w:rsidR="00FE23F2" w:rsidRPr="00B902A7" w:rsidRDefault="00FE23F2" w:rsidP="00057ACE">
            <w:pPr>
              <w:spacing w:after="0"/>
              <w:rPr>
                <w:lang w:val="en-AU"/>
              </w:rPr>
            </w:pPr>
          </w:p>
        </w:tc>
      </w:tr>
    </w:tbl>
    <w:p w14:paraId="39F1F171" w14:textId="77777777" w:rsidR="00FE23F2" w:rsidRPr="00B902A7" w:rsidRDefault="00FE23F2" w:rsidP="00057ACE">
      <w:pPr>
        <w:rPr>
          <w:lang w:val="en-AU"/>
        </w:rPr>
      </w:pPr>
    </w:p>
    <w:sectPr w:rsidR="00FE23F2" w:rsidRPr="00B902A7" w:rsidSect="00D76D67">
      <w:headerReference w:type="default" r:id="rId10"/>
      <w:footerReference w:type="default" r:id="rId11"/>
      <w:pgSz w:w="11907" w:h="16840" w:code="9"/>
      <w:pgMar w:top="142" w:right="1440" w:bottom="1440" w:left="1440" w:header="737" w:footer="48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4360ED" w14:textId="77777777" w:rsidR="00CD777A" w:rsidRDefault="00CD777A" w:rsidP="00C70B1D">
      <w:pPr>
        <w:spacing w:after="0" w:line="240" w:lineRule="auto"/>
      </w:pPr>
      <w:r>
        <w:separator/>
      </w:r>
    </w:p>
  </w:endnote>
  <w:endnote w:type="continuationSeparator" w:id="0">
    <w:p w14:paraId="5588B4B6" w14:textId="77777777" w:rsidR="00CD777A" w:rsidRDefault="00CD777A" w:rsidP="00C70B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ITC Avant Garde Std Bk">
    <w:altName w:val="Cambria"/>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48AA2C" w14:textId="3CA27CDF" w:rsidR="00AF358E" w:rsidRPr="00B902A7" w:rsidRDefault="00AF358E" w:rsidP="00583ABF">
    <w:pPr>
      <w:pStyle w:val="Footer"/>
      <w:tabs>
        <w:tab w:val="clear" w:pos="8505"/>
        <w:tab w:val="left" w:pos="7938"/>
      </w:tabs>
      <w:rPr>
        <w:lang w:val="en-AU"/>
      </w:rPr>
    </w:pPr>
    <w:r w:rsidRPr="00B902A7">
      <w:rPr>
        <w:lang w:val="en-AU"/>
      </w:rPr>
      <w:t>ITE Primary Teaching specialisation – application template</w:t>
    </w:r>
    <w:r w:rsidRPr="00B902A7">
      <w:rPr>
        <w:lang w:val="en-AU"/>
      </w:rPr>
      <w:tab/>
    </w:r>
    <w:r w:rsidR="00583ABF" w:rsidRPr="00B902A7">
      <w:rPr>
        <w:lang w:val="en-AU"/>
      </w:rPr>
      <w:t xml:space="preserve">Page </w:t>
    </w:r>
    <w:r w:rsidR="00583ABF" w:rsidRPr="00B902A7">
      <w:rPr>
        <w:lang w:val="en-AU"/>
      </w:rPr>
      <w:fldChar w:fldCharType="begin"/>
    </w:r>
    <w:r w:rsidR="00583ABF" w:rsidRPr="00B902A7">
      <w:rPr>
        <w:lang w:val="en-AU"/>
      </w:rPr>
      <w:instrText xml:space="preserve"> PAGE  \* Arabic  \* MERGEFORMAT </w:instrText>
    </w:r>
    <w:r w:rsidR="00583ABF" w:rsidRPr="00B902A7">
      <w:rPr>
        <w:lang w:val="en-AU"/>
      </w:rPr>
      <w:fldChar w:fldCharType="separate"/>
    </w:r>
    <w:r w:rsidR="00D76D67">
      <w:rPr>
        <w:noProof/>
        <w:lang w:val="en-AU"/>
      </w:rPr>
      <w:t>4</w:t>
    </w:r>
    <w:r w:rsidR="00583ABF" w:rsidRPr="00B902A7">
      <w:rPr>
        <w:lang w:val="en-AU"/>
      </w:rPr>
      <w:fldChar w:fldCharType="end"/>
    </w:r>
    <w:r w:rsidR="00583ABF" w:rsidRPr="00B902A7">
      <w:rPr>
        <w:lang w:val="en-AU"/>
      </w:rPr>
      <w:t xml:space="preserve"> of </w:t>
    </w:r>
    <w:r w:rsidR="00B902A7" w:rsidRPr="00B902A7">
      <w:rPr>
        <w:lang w:val="en-AU"/>
      </w:rPr>
      <w:fldChar w:fldCharType="begin"/>
    </w:r>
    <w:r w:rsidR="00B902A7" w:rsidRPr="00B902A7">
      <w:rPr>
        <w:lang w:val="en-AU"/>
      </w:rPr>
      <w:instrText xml:space="preserve"> NUMPAGES  \* Arabic  \* MERGEFORMAT </w:instrText>
    </w:r>
    <w:r w:rsidR="00B902A7" w:rsidRPr="00B902A7">
      <w:rPr>
        <w:lang w:val="en-AU"/>
      </w:rPr>
      <w:fldChar w:fldCharType="separate"/>
    </w:r>
    <w:r w:rsidR="00D76D67">
      <w:rPr>
        <w:noProof/>
        <w:lang w:val="en-AU"/>
      </w:rPr>
      <w:t>4</w:t>
    </w:r>
    <w:r w:rsidR="00B902A7" w:rsidRPr="00B902A7">
      <w:rPr>
        <w:noProof/>
        <w:lang w:val="en-AU"/>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39C411" w14:textId="77777777" w:rsidR="00CD777A" w:rsidRDefault="00CD777A" w:rsidP="00C70B1D">
      <w:pPr>
        <w:spacing w:after="0" w:line="240" w:lineRule="auto"/>
      </w:pPr>
      <w:r>
        <w:separator/>
      </w:r>
    </w:p>
  </w:footnote>
  <w:footnote w:type="continuationSeparator" w:id="0">
    <w:p w14:paraId="1A065B0F" w14:textId="77777777" w:rsidR="00CD777A" w:rsidRDefault="00CD777A" w:rsidP="00C70B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678EDF" w14:textId="77777777" w:rsidR="001F6F5B" w:rsidRDefault="001F6F5B" w:rsidP="001F6F5B">
    <w:pPr>
      <w:pStyle w:val="Header"/>
      <w:jc w:val="both"/>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57BC1F9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33A48C1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DB69FB8"/>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B8703822"/>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1E4490B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91A29DA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6EEFAE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7450937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5902F38C"/>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04B6350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A8624DC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0C0897"/>
    <w:multiLevelType w:val="hybridMultilevel"/>
    <w:tmpl w:val="5770E0FE"/>
    <w:lvl w:ilvl="0" w:tplc="6512D1AC">
      <w:numFmt w:val="bullet"/>
      <w:lvlText w:val="-"/>
      <w:lvlJc w:val="left"/>
      <w:pPr>
        <w:ind w:left="786" w:hanging="360"/>
      </w:pPr>
      <w:rPr>
        <w:rFonts w:ascii="Arial" w:eastAsia="Calibri" w:hAnsi="Arial" w:cs="Arial" w:hint="default"/>
      </w:rPr>
    </w:lvl>
    <w:lvl w:ilvl="1" w:tplc="0C090003">
      <w:start w:val="1"/>
      <w:numFmt w:val="bullet"/>
      <w:lvlText w:val="o"/>
      <w:lvlJc w:val="left"/>
      <w:pPr>
        <w:ind w:left="1506" w:hanging="360"/>
      </w:pPr>
      <w:rPr>
        <w:rFonts w:ascii="Courier New" w:hAnsi="Courier New" w:cs="Courier New" w:hint="default"/>
      </w:rPr>
    </w:lvl>
    <w:lvl w:ilvl="2" w:tplc="0C090005">
      <w:start w:val="1"/>
      <w:numFmt w:val="bullet"/>
      <w:lvlText w:val=""/>
      <w:lvlJc w:val="left"/>
      <w:pPr>
        <w:ind w:left="2226" w:hanging="360"/>
      </w:pPr>
      <w:rPr>
        <w:rFonts w:ascii="Wingdings" w:hAnsi="Wingdings" w:hint="default"/>
      </w:rPr>
    </w:lvl>
    <w:lvl w:ilvl="3" w:tplc="0C090001">
      <w:start w:val="1"/>
      <w:numFmt w:val="bullet"/>
      <w:lvlText w:val=""/>
      <w:lvlJc w:val="left"/>
      <w:pPr>
        <w:ind w:left="2946" w:hanging="360"/>
      </w:pPr>
      <w:rPr>
        <w:rFonts w:ascii="Symbol" w:hAnsi="Symbol" w:hint="default"/>
      </w:rPr>
    </w:lvl>
    <w:lvl w:ilvl="4" w:tplc="0C090003">
      <w:start w:val="1"/>
      <w:numFmt w:val="bullet"/>
      <w:lvlText w:val="o"/>
      <w:lvlJc w:val="left"/>
      <w:pPr>
        <w:ind w:left="3666" w:hanging="360"/>
      </w:pPr>
      <w:rPr>
        <w:rFonts w:ascii="Courier New" w:hAnsi="Courier New" w:cs="Courier New" w:hint="default"/>
      </w:rPr>
    </w:lvl>
    <w:lvl w:ilvl="5" w:tplc="0C090005">
      <w:start w:val="1"/>
      <w:numFmt w:val="bullet"/>
      <w:lvlText w:val=""/>
      <w:lvlJc w:val="left"/>
      <w:pPr>
        <w:ind w:left="4386" w:hanging="360"/>
      </w:pPr>
      <w:rPr>
        <w:rFonts w:ascii="Wingdings" w:hAnsi="Wingdings" w:hint="default"/>
      </w:rPr>
    </w:lvl>
    <w:lvl w:ilvl="6" w:tplc="0C090001">
      <w:start w:val="1"/>
      <w:numFmt w:val="bullet"/>
      <w:lvlText w:val=""/>
      <w:lvlJc w:val="left"/>
      <w:pPr>
        <w:ind w:left="5106" w:hanging="360"/>
      </w:pPr>
      <w:rPr>
        <w:rFonts w:ascii="Symbol" w:hAnsi="Symbol" w:hint="default"/>
      </w:rPr>
    </w:lvl>
    <w:lvl w:ilvl="7" w:tplc="0C090003">
      <w:start w:val="1"/>
      <w:numFmt w:val="bullet"/>
      <w:lvlText w:val="o"/>
      <w:lvlJc w:val="left"/>
      <w:pPr>
        <w:ind w:left="5826" w:hanging="360"/>
      </w:pPr>
      <w:rPr>
        <w:rFonts w:ascii="Courier New" w:hAnsi="Courier New" w:cs="Courier New" w:hint="default"/>
      </w:rPr>
    </w:lvl>
    <w:lvl w:ilvl="8" w:tplc="0C090005">
      <w:start w:val="1"/>
      <w:numFmt w:val="bullet"/>
      <w:lvlText w:val=""/>
      <w:lvlJc w:val="left"/>
      <w:pPr>
        <w:ind w:left="6546" w:hanging="360"/>
      </w:pPr>
      <w:rPr>
        <w:rFonts w:ascii="Wingdings" w:hAnsi="Wingdings" w:hint="default"/>
      </w:rPr>
    </w:lvl>
  </w:abstractNum>
  <w:abstractNum w:abstractNumId="12" w15:restartNumberingAfterBreak="0">
    <w:nsid w:val="04B37D6E"/>
    <w:multiLevelType w:val="hybridMultilevel"/>
    <w:tmpl w:val="89F29C4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15:restartNumberingAfterBreak="0">
    <w:nsid w:val="060345AB"/>
    <w:multiLevelType w:val="hybridMultilevel"/>
    <w:tmpl w:val="012E8E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103748A4"/>
    <w:multiLevelType w:val="hybridMultilevel"/>
    <w:tmpl w:val="C89ED0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1EE60C3C"/>
    <w:multiLevelType w:val="hybridMultilevel"/>
    <w:tmpl w:val="15F83F20"/>
    <w:lvl w:ilvl="0" w:tplc="FD24FED2">
      <w:start w:val="1"/>
      <w:numFmt w:val="bullet"/>
      <w:pStyle w:val="ListParagraph"/>
      <w:lvlText w:val=""/>
      <w:lvlJc w:val="left"/>
      <w:pPr>
        <w:ind w:left="720" w:hanging="360"/>
      </w:pPr>
      <w:rPr>
        <w:rFonts w:ascii="Wingdings" w:hAnsi="Wingdings" w:hint="default"/>
        <w:color w:val="28007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15D32F8"/>
    <w:multiLevelType w:val="hybridMultilevel"/>
    <w:tmpl w:val="05944B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7982C71"/>
    <w:multiLevelType w:val="hybridMultilevel"/>
    <w:tmpl w:val="5E183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A8257BC"/>
    <w:multiLevelType w:val="hybridMultilevel"/>
    <w:tmpl w:val="CB7CF9EE"/>
    <w:lvl w:ilvl="0" w:tplc="D8C4766E">
      <w:start w:val="1"/>
      <w:numFmt w:val="bullet"/>
      <w:lvlText w:val=""/>
      <w:lvlJc w:val="left"/>
      <w:pPr>
        <w:ind w:left="360" w:hanging="360"/>
      </w:pPr>
      <w:rPr>
        <w:rFonts w:ascii="Symbol" w:hAnsi="Symbol" w:hint="default"/>
        <w:sz w:val="22"/>
        <w:szCs w:val="22"/>
      </w:rPr>
    </w:lvl>
    <w:lvl w:ilvl="1" w:tplc="0C090003">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525370A0"/>
    <w:multiLevelType w:val="hybridMultilevel"/>
    <w:tmpl w:val="17706492"/>
    <w:lvl w:ilvl="0" w:tplc="0C090015">
      <w:start w:val="1"/>
      <w:numFmt w:val="upperLetter"/>
      <w:lvlText w:val="%1."/>
      <w:lvlJc w:val="left"/>
      <w:pPr>
        <w:ind w:left="720" w:hanging="360"/>
      </w:pPr>
      <w:rPr>
        <w:rFonts w:hint="default"/>
        <w:b w:val="0"/>
        <w:u w:val="no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B0D68A5"/>
    <w:multiLevelType w:val="hybridMultilevel"/>
    <w:tmpl w:val="464C330A"/>
    <w:lvl w:ilvl="0" w:tplc="8AF2FAA0">
      <w:start w:val="1"/>
      <w:numFmt w:val="decimal"/>
      <w:pStyle w:val="Heading3"/>
      <w:lvlText w:val="%1."/>
      <w:lvlJc w:val="left"/>
      <w:pPr>
        <w:ind w:left="720" w:hanging="360"/>
      </w:pPr>
      <w:rPr>
        <w:rFonts w:hint="default"/>
        <w:b/>
        <w:bCs/>
        <w:color w:val="280070"/>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B827D43"/>
    <w:multiLevelType w:val="hybridMultilevel"/>
    <w:tmpl w:val="ED64A2B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7CF234ED"/>
    <w:multiLevelType w:val="hybridMultilevel"/>
    <w:tmpl w:val="5AF85282"/>
    <w:lvl w:ilvl="0" w:tplc="04090001">
      <w:start w:val="1"/>
      <w:numFmt w:val="bullet"/>
      <w:pStyle w:val="Tabletex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22"/>
  </w:num>
  <w:num w:numId="3">
    <w:abstractNumId w:val="14"/>
  </w:num>
  <w:num w:numId="4">
    <w:abstractNumId w:val="18"/>
  </w:num>
  <w:num w:numId="5">
    <w:abstractNumId w:val="19"/>
  </w:num>
  <w:num w:numId="6">
    <w:abstractNumId w:val="13"/>
  </w:num>
  <w:num w:numId="7">
    <w:abstractNumId w:val="11"/>
  </w:num>
  <w:num w:numId="8">
    <w:abstractNumId w:val="11"/>
  </w:num>
  <w:num w:numId="9">
    <w:abstractNumId w:val="21"/>
  </w:num>
  <w:num w:numId="10">
    <w:abstractNumId w:val="21"/>
  </w:num>
  <w:num w:numId="11">
    <w:abstractNumId w:val="13"/>
  </w:num>
  <w:num w:numId="12">
    <w:abstractNumId w:val="11"/>
  </w:num>
  <w:num w:numId="13">
    <w:abstractNumId w:val="20"/>
  </w:num>
  <w:num w:numId="14">
    <w:abstractNumId w:val="16"/>
  </w:num>
  <w:num w:numId="15">
    <w:abstractNumId w:val="17"/>
  </w:num>
  <w:num w:numId="16">
    <w:abstractNumId w:val="15"/>
  </w:num>
  <w:num w:numId="17">
    <w:abstractNumId w:val="10"/>
  </w:num>
  <w:num w:numId="18">
    <w:abstractNumId w:val="8"/>
  </w:num>
  <w:num w:numId="19">
    <w:abstractNumId w:val="7"/>
  </w:num>
  <w:num w:numId="20">
    <w:abstractNumId w:val="6"/>
  </w:num>
  <w:num w:numId="21">
    <w:abstractNumId w:val="5"/>
  </w:num>
  <w:num w:numId="22">
    <w:abstractNumId w:val="9"/>
  </w:num>
  <w:num w:numId="23">
    <w:abstractNumId w:val="4"/>
  </w:num>
  <w:num w:numId="24">
    <w:abstractNumId w:val="3"/>
  </w:num>
  <w:num w:numId="25">
    <w:abstractNumId w:val="2"/>
  </w:num>
  <w:num w:numId="26">
    <w:abstractNumId w:val="1"/>
  </w:num>
  <w:num w:numId="27">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567"/>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55D5"/>
    <w:rsid w:val="00002718"/>
    <w:rsid w:val="00004A2A"/>
    <w:rsid w:val="000065C2"/>
    <w:rsid w:val="000076AF"/>
    <w:rsid w:val="00007FA9"/>
    <w:rsid w:val="00010859"/>
    <w:rsid w:val="00012335"/>
    <w:rsid w:val="000135D2"/>
    <w:rsid w:val="00015972"/>
    <w:rsid w:val="000179F8"/>
    <w:rsid w:val="000205B0"/>
    <w:rsid w:val="000212D2"/>
    <w:rsid w:val="00024013"/>
    <w:rsid w:val="000268A8"/>
    <w:rsid w:val="00040E44"/>
    <w:rsid w:val="00043EA7"/>
    <w:rsid w:val="000562AF"/>
    <w:rsid w:val="0005641B"/>
    <w:rsid w:val="00057ACE"/>
    <w:rsid w:val="000611CE"/>
    <w:rsid w:val="00065944"/>
    <w:rsid w:val="0007063F"/>
    <w:rsid w:val="0007079C"/>
    <w:rsid w:val="00072437"/>
    <w:rsid w:val="00072CD6"/>
    <w:rsid w:val="00073A4B"/>
    <w:rsid w:val="00075432"/>
    <w:rsid w:val="000861F7"/>
    <w:rsid w:val="00086241"/>
    <w:rsid w:val="0009491E"/>
    <w:rsid w:val="00097274"/>
    <w:rsid w:val="00097ED7"/>
    <w:rsid w:val="000A7083"/>
    <w:rsid w:val="000B0422"/>
    <w:rsid w:val="000B1905"/>
    <w:rsid w:val="000B53A8"/>
    <w:rsid w:val="000C0F47"/>
    <w:rsid w:val="000C3101"/>
    <w:rsid w:val="000C5513"/>
    <w:rsid w:val="000C58BF"/>
    <w:rsid w:val="000D6080"/>
    <w:rsid w:val="000E1266"/>
    <w:rsid w:val="000E29BC"/>
    <w:rsid w:val="000E3E14"/>
    <w:rsid w:val="000F040B"/>
    <w:rsid w:val="000F1729"/>
    <w:rsid w:val="000F2004"/>
    <w:rsid w:val="000F78F8"/>
    <w:rsid w:val="000F7F2F"/>
    <w:rsid w:val="00110735"/>
    <w:rsid w:val="00113DC6"/>
    <w:rsid w:val="00126274"/>
    <w:rsid w:val="00126802"/>
    <w:rsid w:val="00126EB6"/>
    <w:rsid w:val="0013454F"/>
    <w:rsid w:val="00143D18"/>
    <w:rsid w:val="001448A8"/>
    <w:rsid w:val="00150A01"/>
    <w:rsid w:val="00152A3F"/>
    <w:rsid w:val="00153BF4"/>
    <w:rsid w:val="00155AB5"/>
    <w:rsid w:val="00157E52"/>
    <w:rsid w:val="00163159"/>
    <w:rsid w:val="00163665"/>
    <w:rsid w:val="00170F27"/>
    <w:rsid w:val="00172EE0"/>
    <w:rsid w:val="00174844"/>
    <w:rsid w:val="00176AAF"/>
    <w:rsid w:val="0018232C"/>
    <w:rsid w:val="001824B8"/>
    <w:rsid w:val="00183082"/>
    <w:rsid w:val="001847ED"/>
    <w:rsid w:val="00186107"/>
    <w:rsid w:val="00191900"/>
    <w:rsid w:val="00192103"/>
    <w:rsid w:val="00192C18"/>
    <w:rsid w:val="001A04C5"/>
    <w:rsid w:val="001A3345"/>
    <w:rsid w:val="001A580D"/>
    <w:rsid w:val="001A6A29"/>
    <w:rsid w:val="001A7309"/>
    <w:rsid w:val="001A7642"/>
    <w:rsid w:val="001B0C84"/>
    <w:rsid w:val="001B181F"/>
    <w:rsid w:val="001B5847"/>
    <w:rsid w:val="001B6B8B"/>
    <w:rsid w:val="001C02EE"/>
    <w:rsid w:val="001C62B3"/>
    <w:rsid w:val="001D668B"/>
    <w:rsid w:val="001D78FC"/>
    <w:rsid w:val="001D7B20"/>
    <w:rsid w:val="001E2C27"/>
    <w:rsid w:val="001E52A0"/>
    <w:rsid w:val="001E5847"/>
    <w:rsid w:val="001F2AE3"/>
    <w:rsid w:val="001F357B"/>
    <w:rsid w:val="001F6F5B"/>
    <w:rsid w:val="001F7DF6"/>
    <w:rsid w:val="00221DCA"/>
    <w:rsid w:val="00222FEB"/>
    <w:rsid w:val="00223085"/>
    <w:rsid w:val="00223530"/>
    <w:rsid w:val="00223695"/>
    <w:rsid w:val="002236BB"/>
    <w:rsid w:val="00223AA5"/>
    <w:rsid w:val="00226E4E"/>
    <w:rsid w:val="002274FB"/>
    <w:rsid w:val="00227B4B"/>
    <w:rsid w:val="002311B9"/>
    <w:rsid w:val="0023483F"/>
    <w:rsid w:val="002426B7"/>
    <w:rsid w:val="00242BFE"/>
    <w:rsid w:val="002435B0"/>
    <w:rsid w:val="00243C2F"/>
    <w:rsid w:val="002443F9"/>
    <w:rsid w:val="002529AD"/>
    <w:rsid w:val="00253399"/>
    <w:rsid w:val="002560D4"/>
    <w:rsid w:val="00257E5A"/>
    <w:rsid w:val="00262C25"/>
    <w:rsid w:val="00263706"/>
    <w:rsid w:val="00271EE0"/>
    <w:rsid w:val="00276A13"/>
    <w:rsid w:val="00280EC2"/>
    <w:rsid w:val="0028304A"/>
    <w:rsid w:val="00286D79"/>
    <w:rsid w:val="0029172D"/>
    <w:rsid w:val="00293003"/>
    <w:rsid w:val="0029407C"/>
    <w:rsid w:val="00295650"/>
    <w:rsid w:val="002A6AB9"/>
    <w:rsid w:val="002B1828"/>
    <w:rsid w:val="002C728E"/>
    <w:rsid w:val="002D0591"/>
    <w:rsid w:val="002D454A"/>
    <w:rsid w:val="002D65BF"/>
    <w:rsid w:val="002E337A"/>
    <w:rsid w:val="002E615B"/>
    <w:rsid w:val="002E7FF8"/>
    <w:rsid w:val="002F0708"/>
    <w:rsid w:val="002F455B"/>
    <w:rsid w:val="002F4688"/>
    <w:rsid w:val="00301090"/>
    <w:rsid w:val="00315068"/>
    <w:rsid w:val="0031667B"/>
    <w:rsid w:val="00327350"/>
    <w:rsid w:val="00330350"/>
    <w:rsid w:val="003311D2"/>
    <w:rsid w:val="003328D7"/>
    <w:rsid w:val="00332FEE"/>
    <w:rsid w:val="00333D47"/>
    <w:rsid w:val="00336C99"/>
    <w:rsid w:val="00336F59"/>
    <w:rsid w:val="00342492"/>
    <w:rsid w:val="00352272"/>
    <w:rsid w:val="00353DD8"/>
    <w:rsid w:val="00354154"/>
    <w:rsid w:val="0035761F"/>
    <w:rsid w:val="00360B86"/>
    <w:rsid w:val="00360EBF"/>
    <w:rsid w:val="00362D3C"/>
    <w:rsid w:val="00373EEC"/>
    <w:rsid w:val="00375CE2"/>
    <w:rsid w:val="00377FB7"/>
    <w:rsid w:val="00383F2C"/>
    <w:rsid w:val="00384A8B"/>
    <w:rsid w:val="0038644B"/>
    <w:rsid w:val="00394C39"/>
    <w:rsid w:val="00394CAC"/>
    <w:rsid w:val="00396D4B"/>
    <w:rsid w:val="003A6704"/>
    <w:rsid w:val="003B2551"/>
    <w:rsid w:val="003B7532"/>
    <w:rsid w:val="003C28BC"/>
    <w:rsid w:val="003C633B"/>
    <w:rsid w:val="003D0476"/>
    <w:rsid w:val="003D1422"/>
    <w:rsid w:val="003D1547"/>
    <w:rsid w:val="003D1764"/>
    <w:rsid w:val="003D3B03"/>
    <w:rsid w:val="003D3B36"/>
    <w:rsid w:val="003E26A7"/>
    <w:rsid w:val="003E3803"/>
    <w:rsid w:val="003E53BF"/>
    <w:rsid w:val="003F25A7"/>
    <w:rsid w:val="003F395E"/>
    <w:rsid w:val="003F5531"/>
    <w:rsid w:val="00400F17"/>
    <w:rsid w:val="00402B59"/>
    <w:rsid w:val="00402FF4"/>
    <w:rsid w:val="00414D8B"/>
    <w:rsid w:val="004200B7"/>
    <w:rsid w:val="004219EB"/>
    <w:rsid w:val="00426C9A"/>
    <w:rsid w:val="00433BC4"/>
    <w:rsid w:val="00434795"/>
    <w:rsid w:val="00447506"/>
    <w:rsid w:val="00457633"/>
    <w:rsid w:val="00462ED5"/>
    <w:rsid w:val="00464E6C"/>
    <w:rsid w:val="00465CD0"/>
    <w:rsid w:val="00467B6D"/>
    <w:rsid w:val="004724DE"/>
    <w:rsid w:val="00482676"/>
    <w:rsid w:val="00485259"/>
    <w:rsid w:val="0048527B"/>
    <w:rsid w:val="004855C6"/>
    <w:rsid w:val="0048563A"/>
    <w:rsid w:val="004876F1"/>
    <w:rsid w:val="00496819"/>
    <w:rsid w:val="004A31E0"/>
    <w:rsid w:val="004A536E"/>
    <w:rsid w:val="004A6CAD"/>
    <w:rsid w:val="004B31F5"/>
    <w:rsid w:val="004B5CF1"/>
    <w:rsid w:val="004B78FD"/>
    <w:rsid w:val="004C2A9B"/>
    <w:rsid w:val="004C3D2E"/>
    <w:rsid w:val="004C432E"/>
    <w:rsid w:val="004C5D5D"/>
    <w:rsid w:val="004C6BDA"/>
    <w:rsid w:val="004C7D31"/>
    <w:rsid w:val="004D27AA"/>
    <w:rsid w:val="004D2D5A"/>
    <w:rsid w:val="004D37E2"/>
    <w:rsid w:val="004D7299"/>
    <w:rsid w:val="004D7969"/>
    <w:rsid w:val="004E0F82"/>
    <w:rsid w:val="004E207D"/>
    <w:rsid w:val="004E22DC"/>
    <w:rsid w:val="004E453B"/>
    <w:rsid w:val="004E7392"/>
    <w:rsid w:val="004F3393"/>
    <w:rsid w:val="00500521"/>
    <w:rsid w:val="005014A3"/>
    <w:rsid w:val="00505E34"/>
    <w:rsid w:val="00506C38"/>
    <w:rsid w:val="005072E7"/>
    <w:rsid w:val="005117C6"/>
    <w:rsid w:val="0051277F"/>
    <w:rsid w:val="00513B7C"/>
    <w:rsid w:val="005148BF"/>
    <w:rsid w:val="00514FD0"/>
    <w:rsid w:val="0051518E"/>
    <w:rsid w:val="00527AC6"/>
    <w:rsid w:val="005334F8"/>
    <w:rsid w:val="00544559"/>
    <w:rsid w:val="00547D4F"/>
    <w:rsid w:val="0055028C"/>
    <w:rsid w:val="00554CEE"/>
    <w:rsid w:val="00555B6B"/>
    <w:rsid w:val="00566881"/>
    <w:rsid w:val="00567F76"/>
    <w:rsid w:val="00570A4C"/>
    <w:rsid w:val="005726B5"/>
    <w:rsid w:val="00572FC2"/>
    <w:rsid w:val="005749FE"/>
    <w:rsid w:val="00580730"/>
    <w:rsid w:val="005810FF"/>
    <w:rsid w:val="00583ABF"/>
    <w:rsid w:val="00584C56"/>
    <w:rsid w:val="00586D01"/>
    <w:rsid w:val="005873E5"/>
    <w:rsid w:val="00594CB1"/>
    <w:rsid w:val="005B11B2"/>
    <w:rsid w:val="005B6E4B"/>
    <w:rsid w:val="005C1890"/>
    <w:rsid w:val="005C27B9"/>
    <w:rsid w:val="005C3556"/>
    <w:rsid w:val="005C58B2"/>
    <w:rsid w:val="005D3748"/>
    <w:rsid w:val="005D3948"/>
    <w:rsid w:val="005D466B"/>
    <w:rsid w:val="005D68FD"/>
    <w:rsid w:val="005E0C55"/>
    <w:rsid w:val="005E7057"/>
    <w:rsid w:val="005F3D4F"/>
    <w:rsid w:val="005F4954"/>
    <w:rsid w:val="005F69B7"/>
    <w:rsid w:val="00600626"/>
    <w:rsid w:val="00605327"/>
    <w:rsid w:val="0060783B"/>
    <w:rsid w:val="00610195"/>
    <w:rsid w:val="00610A20"/>
    <w:rsid w:val="0061324C"/>
    <w:rsid w:val="00613DF3"/>
    <w:rsid w:val="006142B9"/>
    <w:rsid w:val="00622C37"/>
    <w:rsid w:val="00627735"/>
    <w:rsid w:val="00630F5F"/>
    <w:rsid w:val="006318FF"/>
    <w:rsid w:val="006337AF"/>
    <w:rsid w:val="00633CF2"/>
    <w:rsid w:val="00636828"/>
    <w:rsid w:val="00636AB4"/>
    <w:rsid w:val="00637F38"/>
    <w:rsid w:val="0064489D"/>
    <w:rsid w:val="00647CAE"/>
    <w:rsid w:val="006511AD"/>
    <w:rsid w:val="00660850"/>
    <w:rsid w:val="00662285"/>
    <w:rsid w:val="0066242B"/>
    <w:rsid w:val="00665845"/>
    <w:rsid w:val="006724B3"/>
    <w:rsid w:val="0067554B"/>
    <w:rsid w:val="00685721"/>
    <w:rsid w:val="00686C20"/>
    <w:rsid w:val="00696811"/>
    <w:rsid w:val="00696C26"/>
    <w:rsid w:val="006A00A6"/>
    <w:rsid w:val="006A736D"/>
    <w:rsid w:val="006C054D"/>
    <w:rsid w:val="006C200A"/>
    <w:rsid w:val="006C436A"/>
    <w:rsid w:val="006D0336"/>
    <w:rsid w:val="006D73FD"/>
    <w:rsid w:val="006D7D49"/>
    <w:rsid w:val="006E3055"/>
    <w:rsid w:val="006E7FC8"/>
    <w:rsid w:val="006F0568"/>
    <w:rsid w:val="006F571A"/>
    <w:rsid w:val="006F72B9"/>
    <w:rsid w:val="007000C9"/>
    <w:rsid w:val="007009EC"/>
    <w:rsid w:val="00703B91"/>
    <w:rsid w:val="00704613"/>
    <w:rsid w:val="00704843"/>
    <w:rsid w:val="00705EC7"/>
    <w:rsid w:val="00706740"/>
    <w:rsid w:val="007132E1"/>
    <w:rsid w:val="0072040F"/>
    <w:rsid w:val="00727721"/>
    <w:rsid w:val="00730A62"/>
    <w:rsid w:val="00732534"/>
    <w:rsid w:val="00734056"/>
    <w:rsid w:val="00735566"/>
    <w:rsid w:val="00735C20"/>
    <w:rsid w:val="007414F8"/>
    <w:rsid w:val="007428F4"/>
    <w:rsid w:val="00742B88"/>
    <w:rsid w:val="00745A71"/>
    <w:rsid w:val="00746F17"/>
    <w:rsid w:val="007473B3"/>
    <w:rsid w:val="007515EA"/>
    <w:rsid w:val="0075509D"/>
    <w:rsid w:val="0076456C"/>
    <w:rsid w:val="00767AD1"/>
    <w:rsid w:val="00770B3E"/>
    <w:rsid w:val="00774DB3"/>
    <w:rsid w:val="007813DC"/>
    <w:rsid w:val="007870BC"/>
    <w:rsid w:val="00791923"/>
    <w:rsid w:val="007975CF"/>
    <w:rsid w:val="007A12CA"/>
    <w:rsid w:val="007A61D6"/>
    <w:rsid w:val="007A6E4B"/>
    <w:rsid w:val="007A70B1"/>
    <w:rsid w:val="007A7800"/>
    <w:rsid w:val="007B6BA4"/>
    <w:rsid w:val="007B7FB6"/>
    <w:rsid w:val="007C6623"/>
    <w:rsid w:val="007C759C"/>
    <w:rsid w:val="007E59B8"/>
    <w:rsid w:val="007F3138"/>
    <w:rsid w:val="007F462A"/>
    <w:rsid w:val="007F66A4"/>
    <w:rsid w:val="0080168A"/>
    <w:rsid w:val="008024B8"/>
    <w:rsid w:val="0080542C"/>
    <w:rsid w:val="008055D5"/>
    <w:rsid w:val="00805617"/>
    <w:rsid w:val="00805C9D"/>
    <w:rsid w:val="00805F65"/>
    <w:rsid w:val="008066A2"/>
    <w:rsid w:val="0080766C"/>
    <w:rsid w:val="00810DED"/>
    <w:rsid w:val="00812060"/>
    <w:rsid w:val="00816BDD"/>
    <w:rsid w:val="00821EF7"/>
    <w:rsid w:val="008237FB"/>
    <w:rsid w:val="008350F8"/>
    <w:rsid w:val="00840101"/>
    <w:rsid w:val="00840799"/>
    <w:rsid w:val="00845098"/>
    <w:rsid w:val="008557EB"/>
    <w:rsid w:val="00860C00"/>
    <w:rsid w:val="00860F9C"/>
    <w:rsid w:val="008633CD"/>
    <w:rsid w:val="008661A6"/>
    <w:rsid w:val="0087091F"/>
    <w:rsid w:val="00870BB4"/>
    <w:rsid w:val="00872569"/>
    <w:rsid w:val="00877D2B"/>
    <w:rsid w:val="00881E24"/>
    <w:rsid w:val="00886507"/>
    <w:rsid w:val="00892B72"/>
    <w:rsid w:val="0089425C"/>
    <w:rsid w:val="008A2132"/>
    <w:rsid w:val="008A67E6"/>
    <w:rsid w:val="008B6627"/>
    <w:rsid w:val="008C0294"/>
    <w:rsid w:val="008C1CB4"/>
    <w:rsid w:val="008D0295"/>
    <w:rsid w:val="008D7867"/>
    <w:rsid w:val="008F2BB1"/>
    <w:rsid w:val="008F4B95"/>
    <w:rsid w:val="008F58A1"/>
    <w:rsid w:val="008F62B2"/>
    <w:rsid w:val="008F71BB"/>
    <w:rsid w:val="0090092A"/>
    <w:rsid w:val="00905505"/>
    <w:rsid w:val="00905A9A"/>
    <w:rsid w:val="009132BC"/>
    <w:rsid w:val="009138FE"/>
    <w:rsid w:val="00916230"/>
    <w:rsid w:val="00920139"/>
    <w:rsid w:val="009215E8"/>
    <w:rsid w:val="009367E8"/>
    <w:rsid w:val="00937F45"/>
    <w:rsid w:val="0096427D"/>
    <w:rsid w:val="009647F1"/>
    <w:rsid w:val="0096558B"/>
    <w:rsid w:val="0096627A"/>
    <w:rsid w:val="00971E5B"/>
    <w:rsid w:val="00973BEF"/>
    <w:rsid w:val="009749E8"/>
    <w:rsid w:val="00976C38"/>
    <w:rsid w:val="00977841"/>
    <w:rsid w:val="00992F7C"/>
    <w:rsid w:val="009A255C"/>
    <w:rsid w:val="009B6EF2"/>
    <w:rsid w:val="009B74ED"/>
    <w:rsid w:val="009B757E"/>
    <w:rsid w:val="009C4A36"/>
    <w:rsid w:val="009D29B9"/>
    <w:rsid w:val="009D4B2B"/>
    <w:rsid w:val="009D630B"/>
    <w:rsid w:val="009D78F6"/>
    <w:rsid w:val="009D7AAA"/>
    <w:rsid w:val="009E1608"/>
    <w:rsid w:val="009E385B"/>
    <w:rsid w:val="009F6118"/>
    <w:rsid w:val="00A064DF"/>
    <w:rsid w:val="00A126FB"/>
    <w:rsid w:val="00A153B8"/>
    <w:rsid w:val="00A1725C"/>
    <w:rsid w:val="00A2659C"/>
    <w:rsid w:val="00A352D4"/>
    <w:rsid w:val="00A3684F"/>
    <w:rsid w:val="00A433A1"/>
    <w:rsid w:val="00A4370B"/>
    <w:rsid w:val="00A45D1B"/>
    <w:rsid w:val="00A518EA"/>
    <w:rsid w:val="00A54F95"/>
    <w:rsid w:val="00A56AD3"/>
    <w:rsid w:val="00A64E9C"/>
    <w:rsid w:val="00A6591E"/>
    <w:rsid w:val="00A67BDA"/>
    <w:rsid w:val="00A713E3"/>
    <w:rsid w:val="00A71E06"/>
    <w:rsid w:val="00A72528"/>
    <w:rsid w:val="00A72FA2"/>
    <w:rsid w:val="00A82135"/>
    <w:rsid w:val="00A84BB2"/>
    <w:rsid w:val="00A84F51"/>
    <w:rsid w:val="00A84F57"/>
    <w:rsid w:val="00A85384"/>
    <w:rsid w:val="00A936F9"/>
    <w:rsid w:val="00A97D68"/>
    <w:rsid w:val="00AA16EA"/>
    <w:rsid w:val="00AA2B38"/>
    <w:rsid w:val="00AA66DF"/>
    <w:rsid w:val="00AA6B5B"/>
    <w:rsid w:val="00AB0A98"/>
    <w:rsid w:val="00AB1C13"/>
    <w:rsid w:val="00AB1F50"/>
    <w:rsid w:val="00AC63FA"/>
    <w:rsid w:val="00AD2178"/>
    <w:rsid w:val="00AD3E38"/>
    <w:rsid w:val="00AE29FB"/>
    <w:rsid w:val="00AF1E2A"/>
    <w:rsid w:val="00AF358E"/>
    <w:rsid w:val="00AF4092"/>
    <w:rsid w:val="00B00870"/>
    <w:rsid w:val="00B02F92"/>
    <w:rsid w:val="00B05A2A"/>
    <w:rsid w:val="00B07625"/>
    <w:rsid w:val="00B1068A"/>
    <w:rsid w:val="00B11139"/>
    <w:rsid w:val="00B13FC9"/>
    <w:rsid w:val="00B16CBD"/>
    <w:rsid w:val="00B22564"/>
    <w:rsid w:val="00B24470"/>
    <w:rsid w:val="00B27C9D"/>
    <w:rsid w:val="00B3009D"/>
    <w:rsid w:val="00B30830"/>
    <w:rsid w:val="00B50BED"/>
    <w:rsid w:val="00B55456"/>
    <w:rsid w:val="00B55676"/>
    <w:rsid w:val="00B60DD0"/>
    <w:rsid w:val="00B62BB4"/>
    <w:rsid w:val="00B62C02"/>
    <w:rsid w:val="00B6651E"/>
    <w:rsid w:val="00B66809"/>
    <w:rsid w:val="00B71BAB"/>
    <w:rsid w:val="00B72FEE"/>
    <w:rsid w:val="00B76575"/>
    <w:rsid w:val="00B8005D"/>
    <w:rsid w:val="00B814D2"/>
    <w:rsid w:val="00B82C32"/>
    <w:rsid w:val="00B8305A"/>
    <w:rsid w:val="00B85B2D"/>
    <w:rsid w:val="00B86B23"/>
    <w:rsid w:val="00B87D76"/>
    <w:rsid w:val="00B902A7"/>
    <w:rsid w:val="00B906D8"/>
    <w:rsid w:val="00B92370"/>
    <w:rsid w:val="00B935C9"/>
    <w:rsid w:val="00BB1E79"/>
    <w:rsid w:val="00BB3370"/>
    <w:rsid w:val="00BC1E07"/>
    <w:rsid w:val="00BD02EE"/>
    <w:rsid w:val="00BD7C19"/>
    <w:rsid w:val="00BE1FD0"/>
    <w:rsid w:val="00BE5286"/>
    <w:rsid w:val="00BF3696"/>
    <w:rsid w:val="00BF7729"/>
    <w:rsid w:val="00BF77E2"/>
    <w:rsid w:val="00C0222F"/>
    <w:rsid w:val="00C0284D"/>
    <w:rsid w:val="00C07C93"/>
    <w:rsid w:val="00C14249"/>
    <w:rsid w:val="00C21800"/>
    <w:rsid w:val="00C44C87"/>
    <w:rsid w:val="00C51EED"/>
    <w:rsid w:val="00C559C6"/>
    <w:rsid w:val="00C55C25"/>
    <w:rsid w:val="00C55E5E"/>
    <w:rsid w:val="00C5668C"/>
    <w:rsid w:val="00C6124D"/>
    <w:rsid w:val="00C649D2"/>
    <w:rsid w:val="00C70B1D"/>
    <w:rsid w:val="00C731D0"/>
    <w:rsid w:val="00C75DBB"/>
    <w:rsid w:val="00C778AE"/>
    <w:rsid w:val="00C845F1"/>
    <w:rsid w:val="00C86165"/>
    <w:rsid w:val="00C90528"/>
    <w:rsid w:val="00C90CC9"/>
    <w:rsid w:val="00C921CE"/>
    <w:rsid w:val="00C94C0F"/>
    <w:rsid w:val="00C9590B"/>
    <w:rsid w:val="00C96778"/>
    <w:rsid w:val="00CA39B6"/>
    <w:rsid w:val="00CA4123"/>
    <w:rsid w:val="00CB1D44"/>
    <w:rsid w:val="00CB2ACC"/>
    <w:rsid w:val="00CB4A7A"/>
    <w:rsid w:val="00CC385B"/>
    <w:rsid w:val="00CD35DE"/>
    <w:rsid w:val="00CD777A"/>
    <w:rsid w:val="00CE4559"/>
    <w:rsid w:val="00CE51AB"/>
    <w:rsid w:val="00CE7078"/>
    <w:rsid w:val="00CE70D2"/>
    <w:rsid w:val="00CF4480"/>
    <w:rsid w:val="00CF6641"/>
    <w:rsid w:val="00D00F71"/>
    <w:rsid w:val="00D01CED"/>
    <w:rsid w:val="00D047BF"/>
    <w:rsid w:val="00D04D15"/>
    <w:rsid w:val="00D12C01"/>
    <w:rsid w:val="00D13635"/>
    <w:rsid w:val="00D211B2"/>
    <w:rsid w:val="00D21DEB"/>
    <w:rsid w:val="00D22DD5"/>
    <w:rsid w:val="00D24DE6"/>
    <w:rsid w:val="00D2720A"/>
    <w:rsid w:val="00D35DD8"/>
    <w:rsid w:val="00D44D01"/>
    <w:rsid w:val="00D57475"/>
    <w:rsid w:val="00D628D3"/>
    <w:rsid w:val="00D66A4D"/>
    <w:rsid w:val="00D700B9"/>
    <w:rsid w:val="00D7113F"/>
    <w:rsid w:val="00D73C85"/>
    <w:rsid w:val="00D76D67"/>
    <w:rsid w:val="00D8004D"/>
    <w:rsid w:val="00D800B6"/>
    <w:rsid w:val="00D81799"/>
    <w:rsid w:val="00D82EB0"/>
    <w:rsid w:val="00D937F1"/>
    <w:rsid w:val="00D95844"/>
    <w:rsid w:val="00DA23B5"/>
    <w:rsid w:val="00DA2E0F"/>
    <w:rsid w:val="00DA71A4"/>
    <w:rsid w:val="00DB779C"/>
    <w:rsid w:val="00DC55F5"/>
    <w:rsid w:val="00DD3DD2"/>
    <w:rsid w:val="00DD496E"/>
    <w:rsid w:val="00DD6153"/>
    <w:rsid w:val="00E01B1D"/>
    <w:rsid w:val="00E0222D"/>
    <w:rsid w:val="00E10E8F"/>
    <w:rsid w:val="00E17961"/>
    <w:rsid w:val="00E20DA4"/>
    <w:rsid w:val="00E24386"/>
    <w:rsid w:val="00E276E0"/>
    <w:rsid w:val="00E27F5E"/>
    <w:rsid w:val="00E314CF"/>
    <w:rsid w:val="00E32E41"/>
    <w:rsid w:val="00E35521"/>
    <w:rsid w:val="00E367AC"/>
    <w:rsid w:val="00E516B6"/>
    <w:rsid w:val="00E61473"/>
    <w:rsid w:val="00E6328E"/>
    <w:rsid w:val="00E66956"/>
    <w:rsid w:val="00E6728A"/>
    <w:rsid w:val="00E6770E"/>
    <w:rsid w:val="00E71E92"/>
    <w:rsid w:val="00E71F75"/>
    <w:rsid w:val="00E736F0"/>
    <w:rsid w:val="00E752F0"/>
    <w:rsid w:val="00E7773E"/>
    <w:rsid w:val="00E80C3B"/>
    <w:rsid w:val="00E82D3A"/>
    <w:rsid w:val="00E87D3E"/>
    <w:rsid w:val="00E90A5F"/>
    <w:rsid w:val="00E92620"/>
    <w:rsid w:val="00EA0B46"/>
    <w:rsid w:val="00EB70A4"/>
    <w:rsid w:val="00EB769C"/>
    <w:rsid w:val="00EC119A"/>
    <w:rsid w:val="00ED32A1"/>
    <w:rsid w:val="00ED5C1F"/>
    <w:rsid w:val="00EE176F"/>
    <w:rsid w:val="00EE41A1"/>
    <w:rsid w:val="00EE74D9"/>
    <w:rsid w:val="00EE7ABF"/>
    <w:rsid w:val="00EF02FA"/>
    <w:rsid w:val="00EF3508"/>
    <w:rsid w:val="00EF7D78"/>
    <w:rsid w:val="00F0108B"/>
    <w:rsid w:val="00F010C8"/>
    <w:rsid w:val="00F01BBF"/>
    <w:rsid w:val="00F1469C"/>
    <w:rsid w:val="00F33C76"/>
    <w:rsid w:val="00F34171"/>
    <w:rsid w:val="00F35DE1"/>
    <w:rsid w:val="00F376C7"/>
    <w:rsid w:val="00F71ADA"/>
    <w:rsid w:val="00F74C29"/>
    <w:rsid w:val="00F81522"/>
    <w:rsid w:val="00F83E7F"/>
    <w:rsid w:val="00F84346"/>
    <w:rsid w:val="00F84780"/>
    <w:rsid w:val="00F8613B"/>
    <w:rsid w:val="00F97C20"/>
    <w:rsid w:val="00FA216A"/>
    <w:rsid w:val="00FA3E0D"/>
    <w:rsid w:val="00FA7E0F"/>
    <w:rsid w:val="00FB2D3A"/>
    <w:rsid w:val="00FB31CD"/>
    <w:rsid w:val="00FB4532"/>
    <w:rsid w:val="00FC182C"/>
    <w:rsid w:val="00FC3A17"/>
    <w:rsid w:val="00FC6F79"/>
    <w:rsid w:val="00FD4D42"/>
    <w:rsid w:val="00FD537D"/>
    <w:rsid w:val="00FD63BE"/>
    <w:rsid w:val="00FE23F2"/>
    <w:rsid w:val="00FE35A7"/>
    <w:rsid w:val="00FE64CA"/>
    <w:rsid w:val="00FF726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2C14F700"/>
  <w15:docId w15:val="{13344FA3-BF06-4D07-89AD-C7BD46117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3B36"/>
    <w:pPr>
      <w:widowControl w:val="0"/>
      <w:spacing w:after="160" w:line="276" w:lineRule="auto"/>
      <w:jc w:val="both"/>
    </w:pPr>
    <w:rPr>
      <w:rFonts w:ascii="Arial" w:eastAsia="Calibri" w:hAnsi="Arial"/>
      <w:sz w:val="22"/>
      <w:szCs w:val="22"/>
    </w:rPr>
  </w:style>
  <w:style w:type="paragraph" w:styleId="Heading1">
    <w:name w:val="heading 1"/>
    <w:aliases w:val="Form - H1"/>
    <w:basedOn w:val="Normal"/>
    <w:link w:val="Heading1Char"/>
    <w:uiPriority w:val="1"/>
    <w:qFormat/>
    <w:rsid w:val="003D3B36"/>
    <w:pPr>
      <w:spacing w:line="240" w:lineRule="auto"/>
      <w:ind w:right="-52"/>
      <w:jc w:val="left"/>
      <w:outlineLvl w:val="0"/>
    </w:pPr>
    <w:rPr>
      <w:rFonts w:cs="Calibri"/>
      <w:b/>
      <w:bCs/>
      <w:color w:val="280070"/>
      <w:spacing w:val="-2"/>
      <w:sz w:val="32"/>
      <w:szCs w:val="32"/>
    </w:rPr>
  </w:style>
  <w:style w:type="paragraph" w:styleId="Heading2">
    <w:name w:val="heading 2"/>
    <w:aliases w:val="Form - H2"/>
    <w:basedOn w:val="Heading1"/>
    <w:link w:val="Heading2Char"/>
    <w:uiPriority w:val="1"/>
    <w:qFormat/>
    <w:rsid w:val="003D3B36"/>
    <w:pPr>
      <w:spacing w:before="240"/>
      <w:ind w:right="0"/>
      <w:outlineLvl w:val="1"/>
    </w:pPr>
    <w:rPr>
      <w:sz w:val="28"/>
      <w:szCs w:val="28"/>
      <w:lang w:eastAsia="en-AU"/>
    </w:rPr>
  </w:style>
  <w:style w:type="paragraph" w:styleId="Heading3">
    <w:name w:val="heading 3"/>
    <w:aliases w:val="Form - H3"/>
    <w:basedOn w:val="ListParagraph"/>
    <w:next w:val="Normal"/>
    <w:link w:val="Heading3Char"/>
    <w:uiPriority w:val="9"/>
    <w:unhideWhenUsed/>
    <w:qFormat/>
    <w:rsid w:val="003D3B36"/>
    <w:pPr>
      <w:numPr>
        <w:numId w:val="13"/>
      </w:numPr>
      <w:spacing w:before="160" w:after="120"/>
      <w:ind w:left="0" w:hanging="425"/>
      <w:contextualSpacing w:val="0"/>
      <w:outlineLvl w:val="2"/>
    </w:pPr>
    <w:rPr>
      <w:b/>
      <w:color w:val="280070"/>
    </w:rPr>
  </w:style>
  <w:style w:type="paragraph" w:styleId="Heading4">
    <w:name w:val="heading 4"/>
    <w:basedOn w:val="Heading3"/>
    <w:next w:val="Normal"/>
    <w:link w:val="Heading4Char"/>
    <w:uiPriority w:val="9"/>
    <w:unhideWhenUsed/>
    <w:qFormat/>
    <w:rsid w:val="00057ACE"/>
    <w:pPr>
      <w:numPr>
        <w:numId w:val="0"/>
      </w:num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rsid w:val="008055D5"/>
    <w:rPr>
      <w:lang w:eastAsia="ja-JP"/>
    </w:rPr>
  </w:style>
  <w:style w:type="character" w:customStyle="1" w:styleId="NoSpacingChar">
    <w:name w:val="No Spacing Char"/>
    <w:basedOn w:val="DefaultParagraphFont"/>
    <w:link w:val="NoSpacing"/>
    <w:uiPriority w:val="1"/>
    <w:rsid w:val="008055D5"/>
    <w:rPr>
      <w:rFonts w:eastAsiaTheme="minorEastAsia"/>
      <w:lang w:eastAsia="ja-JP"/>
    </w:rPr>
  </w:style>
  <w:style w:type="paragraph" w:styleId="BalloonText">
    <w:name w:val="Balloon Text"/>
    <w:basedOn w:val="Normal"/>
    <w:link w:val="BalloonTextChar"/>
    <w:uiPriority w:val="99"/>
    <w:semiHidden/>
    <w:unhideWhenUsed/>
    <w:rsid w:val="008055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55D5"/>
    <w:rPr>
      <w:rFonts w:ascii="Tahoma" w:hAnsi="Tahoma" w:cs="Tahoma"/>
      <w:sz w:val="16"/>
      <w:szCs w:val="16"/>
    </w:rPr>
  </w:style>
  <w:style w:type="character" w:customStyle="1" w:styleId="Heading1Char">
    <w:name w:val="Heading 1 Char"/>
    <w:aliases w:val="Form - H1 Char"/>
    <w:basedOn w:val="DefaultParagraphFont"/>
    <w:link w:val="Heading1"/>
    <w:uiPriority w:val="1"/>
    <w:rsid w:val="003D3B36"/>
    <w:rPr>
      <w:rFonts w:ascii="Arial" w:eastAsia="Calibri" w:hAnsi="Arial" w:cs="Calibri"/>
      <w:b/>
      <w:bCs/>
      <w:color w:val="280070"/>
      <w:spacing w:val="-2"/>
      <w:sz w:val="32"/>
      <w:szCs w:val="32"/>
    </w:rPr>
  </w:style>
  <w:style w:type="paragraph" w:customStyle="1" w:styleId="Bullet-6ptafter">
    <w:name w:val="Bullet - 6ptafter"/>
    <w:basedOn w:val="Normal"/>
    <w:autoRedefine/>
    <w:rsid w:val="00C70B1D"/>
    <w:pPr>
      <w:spacing w:before="40" w:after="0" w:line="240" w:lineRule="auto"/>
    </w:pPr>
    <w:rPr>
      <w:rFonts w:ascii="Arial Narrow" w:eastAsia="Times New Roman" w:hAnsi="Arial Narrow" w:cs="Arial"/>
      <w:b/>
      <w:sz w:val="20"/>
      <w:szCs w:val="20"/>
      <w:lang w:eastAsia="en-AU"/>
    </w:rPr>
  </w:style>
  <w:style w:type="character" w:styleId="FootnoteReference">
    <w:name w:val="footnote reference"/>
    <w:basedOn w:val="DefaultParagraphFont"/>
    <w:uiPriority w:val="99"/>
    <w:rsid w:val="00C70B1D"/>
    <w:rPr>
      <w:bdr w:val="none" w:sz="0" w:space="0" w:color="auto" w:frame="1"/>
      <w:vertAlign w:val="superscript"/>
    </w:rPr>
  </w:style>
  <w:style w:type="table" w:styleId="TableGrid">
    <w:name w:val="Table Grid"/>
    <w:basedOn w:val="TableNormal"/>
    <w:uiPriority w:val="59"/>
    <w:rsid w:val="00C70B1D"/>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Footer"/>
    <w:link w:val="HeaderChar"/>
    <w:uiPriority w:val="99"/>
    <w:unhideWhenUsed/>
    <w:qFormat/>
    <w:rsid w:val="003D3B36"/>
    <w:pPr>
      <w:jc w:val="center"/>
    </w:pPr>
  </w:style>
  <w:style w:type="character" w:customStyle="1" w:styleId="HeaderChar">
    <w:name w:val="Header Char"/>
    <w:basedOn w:val="DefaultParagraphFont"/>
    <w:link w:val="Header"/>
    <w:uiPriority w:val="99"/>
    <w:rsid w:val="003D3B36"/>
    <w:rPr>
      <w:rFonts w:ascii="Arial" w:eastAsia="Calibri" w:hAnsi="Arial" w:cs="Arial"/>
      <w:color w:val="7F7F7F" w:themeColor="text1" w:themeTint="80"/>
      <w:sz w:val="20"/>
      <w:szCs w:val="20"/>
    </w:rPr>
  </w:style>
  <w:style w:type="paragraph" w:styleId="Footer">
    <w:name w:val="footer"/>
    <w:basedOn w:val="Normal"/>
    <w:link w:val="FooterChar"/>
    <w:uiPriority w:val="99"/>
    <w:unhideWhenUsed/>
    <w:qFormat/>
    <w:rsid w:val="003D3B36"/>
    <w:pPr>
      <w:tabs>
        <w:tab w:val="left" w:pos="8505"/>
      </w:tabs>
      <w:jc w:val="left"/>
    </w:pPr>
    <w:rPr>
      <w:rFonts w:cs="Arial"/>
      <w:color w:val="7F7F7F" w:themeColor="text1" w:themeTint="80"/>
      <w:sz w:val="20"/>
      <w:szCs w:val="20"/>
    </w:rPr>
  </w:style>
  <w:style w:type="character" w:customStyle="1" w:styleId="FooterChar">
    <w:name w:val="Footer Char"/>
    <w:basedOn w:val="DefaultParagraphFont"/>
    <w:link w:val="Footer"/>
    <w:uiPriority w:val="99"/>
    <w:rsid w:val="003D3B36"/>
    <w:rPr>
      <w:rFonts w:ascii="Arial" w:eastAsia="Calibri" w:hAnsi="Arial" w:cs="Arial"/>
      <w:color w:val="7F7F7F" w:themeColor="text1" w:themeTint="80"/>
      <w:sz w:val="20"/>
      <w:szCs w:val="20"/>
    </w:rPr>
  </w:style>
  <w:style w:type="character" w:styleId="PageNumber">
    <w:name w:val="page number"/>
    <w:basedOn w:val="DefaultParagraphFont"/>
    <w:rsid w:val="00C70B1D"/>
  </w:style>
  <w:style w:type="paragraph" w:customStyle="1" w:styleId="Default">
    <w:name w:val="Default"/>
    <w:rsid w:val="004F3393"/>
    <w:pPr>
      <w:autoSpaceDE w:val="0"/>
      <w:autoSpaceDN w:val="0"/>
      <w:adjustRightInd w:val="0"/>
    </w:pPr>
    <w:rPr>
      <w:rFonts w:ascii="Georgia" w:eastAsia="Times New Roman" w:hAnsi="Georgia" w:cs="Georgia"/>
      <w:color w:val="000000"/>
      <w:lang w:val="en-AU" w:eastAsia="en-AU"/>
    </w:rPr>
  </w:style>
  <w:style w:type="paragraph" w:styleId="CommentText">
    <w:name w:val="annotation text"/>
    <w:basedOn w:val="Normal"/>
    <w:link w:val="CommentTextChar"/>
    <w:uiPriority w:val="99"/>
    <w:semiHidden/>
    <w:rsid w:val="004F3393"/>
    <w:pPr>
      <w:spacing w:after="0" w:line="240" w:lineRule="auto"/>
    </w:pPr>
    <w:rPr>
      <w:rFonts w:ascii="Times New Roman" w:eastAsia="Times New Roman" w:hAnsi="Times New Roman" w:cs="Times New Roman"/>
      <w:sz w:val="20"/>
      <w:szCs w:val="20"/>
      <w:lang w:val="en-AU" w:eastAsia="en-AU"/>
    </w:rPr>
  </w:style>
  <w:style w:type="character" w:customStyle="1" w:styleId="CommentTextChar">
    <w:name w:val="Comment Text Char"/>
    <w:basedOn w:val="DefaultParagraphFont"/>
    <w:link w:val="CommentText"/>
    <w:uiPriority w:val="99"/>
    <w:semiHidden/>
    <w:rsid w:val="004F3393"/>
    <w:rPr>
      <w:rFonts w:ascii="Times New Roman" w:eastAsia="Times New Roman" w:hAnsi="Times New Roman" w:cs="Times New Roman"/>
      <w:sz w:val="20"/>
      <w:szCs w:val="20"/>
      <w:lang w:val="en-AU" w:eastAsia="en-AU"/>
    </w:rPr>
  </w:style>
  <w:style w:type="paragraph" w:styleId="ListParagraph">
    <w:name w:val="List Paragraph"/>
    <w:basedOn w:val="Normal"/>
    <w:uiPriority w:val="1"/>
    <w:qFormat/>
    <w:rsid w:val="003D3B36"/>
    <w:pPr>
      <w:widowControl/>
      <w:numPr>
        <w:numId w:val="16"/>
      </w:numPr>
      <w:contextualSpacing/>
      <w:jc w:val="left"/>
    </w:pPr>
    <w:rPr>
      <w:rFonts w:eastAsia="Times New Roman" w:cs="Times New Roman"/>
      <w:lang w:val="en-AU"/>
    </w:rPr>
  </w:style>
  <w:style w:type="paragraph" w:customStyle="1" w:styleId="Unnumberedparagraph">
    <w:name w:val="Unnumbered paragraph"/>
    <w:basedOn w:val="Normal"/>
    <w:link w:val="UnnumberedparagraphChar"/>
    <w:uiPriority w:val="99"/>
    <w:rsid w:val="004F3393"/>
    <w:pPr>
      <w:spacing w:after="240" w:line="240" w:lineRule="auto"/>
    </w:pPr>
    <w:rPr>
      <w:rFonts w:ascii="Tahoma" w:eastAsia="Times New Roman" w:hAnsi="Tahoma" w:cs="Times New Roman"/>
      <w:color w:val="000000"/>
      <w:sz w:val="24"/>
      <w:szCs w:val="24"/>
      <w:lang w:val="en-GB"/>
    </w:rPr>
  </w:style>
  <w:style w:type="character" w:customStyle="1" w:styleId="UnnumberedparagraphChar">
    <w:name w:val="Unnumbered paragraph Char"/>
    <w:basedOn w:val="DefaultParagraphFont"/>
    <w:link w:val="Unnumberedparagraph"/>
    <w:uiPriority w:val="99"/>
    <w:locked/>
    <w:rsid w:val="004F3393"/>
    <w:rPr>
      <w:rFonts w:ascii="Tahoma" w:eastAsia="Times New Roman" w:hAnsi="Tahoma" w:cs="Times New Roman"/>
      <w:color w:val="000000"/>
      <w:sz w:val="24"/>
      <w:szCs w:val="24"/>
      <w:lang w:val="en-GB"/>
    </w:rPr>
  </w:style>
  <w:style w:type="paragraph" w:customStyle="1" w:styleId="Tabletextbullet">
    <w:name w:val="Table text bullet"/>
    <w:basedOn w:val="Normal"/>
    <w:uiPriority w:val="99"/>
    <w:rsid w:val="004F3393"/>
    <w:pPr>
      <w:numPr>
        <w:numId w:val="2"/>
      </w:numPr>
      <w:tabs>
        <w:tab w:val="left" w:pos="567"/>
      </w:tabs>
      <w:spacing w:before="60" w:after="60" w:line="240" w:lineRule="auto"/>
      <w:ind w:left="568" w:hanging="357"/>
      <w:contextualSpacing/>
    </w:pPr>
    <w:rPr>
      <w:rFonts w:ascii="Tahoma" w:eastAsia="Times New Roman" w:hAnsi="Tahoma" w:cs="Times New Roman"/>
      <w:color w:val="000000"/>
      <w:szCs w:val="24"/>
      <w:lang w:val="en-GB"/>
    </w:rPr>
  </w:style>
  <w:style w:type="paragraph" w:styleId="PlainText">
    <w:name w:val="Plain Text"/>
    <w:basedOn w:val="Normal"/>
    <w:link w:val="PlainTextChar1"/>
    <w:uiPriority w:val="99"/>
    <w:rsid w:val="004F3393"/>
    <w:pPr>
      <w:spacing w:after="0" w:line="240" w:lineRule="auto"/>
    </w:pPr>
    <w:rPr>
      <w:rFonts w:ascii="Verdana" w:eastAsia="Times New Roman" w:hAnsi="Verdana" w:cs="Times New Roman"/>
      <w:sz w:val="20"/>
      <w:szCs w:val="20"/>
      <w:lang w:eastAsia="en-AU"/>
    </w:rPr>
  </w:style>
  <w:style w:type="character" w:customStyle="1" w:styleId="PlainTextChar">
    <w:name w:val="Plain Text Char"/>
    <w:basedOn w:val="DefaultParagraphFont"/>
    <w:uiPriority w:val="99"/>
    <w:semiHidden/>
    <w:rsid w:val="004F3393"/>
    <w:rPr>
      <w:rFonts w:ascii="Consolas" w:hAnsi="Consolas" w:cs="Consolas"/>
      <w:sz w:val="21"/>
      <w:szCs w:val="21"/>
    </w:rPr>
  </w:style>
  <w:style w:type="character" w:customStyle="1" w:styleId="PlainTextChar1">
    <w:name w:val="Plain Text Char1"/>
    <w:basedOn w:val="DefaultParagraphFont"/>
    <w:link w:val="PlainText"/>
    <w:uiPriority w:val="99"/>
    <w:locked/>
    <w:rsid w:val="004F3393"/>
    <w:rPr>
      <w:rFonts w:ascii="Verdana" w:eastAsia="Times New Roman" w:hAnsi="Verdana" w:cs="Times New Roman"/>
      <w:sz w:val="20"/>
      <w:szCs w:val="20"/>
      <w:lang w:eastAsia="en-AU"/>
    </w:rPr>
  </w:style>
  <w:style w:type="paragraph" w:styleId="FootnoteText">
    <w:name w:val="footnote text"/>
    <w:basedOn w:val="Normal"/>
    <w:link w:val="FootnoteTextChar"/>
    <w:uiPriority w:val="99"/>
    <w:rsid w:val="004F3393"/>
    <w:pPr>
      <w:spacing w:after="0" w:line="240" w:lineRule="auto"/>
    </w:pPr>
    <w:rPr>
      <w:rFonts w:ascii="Times New Roman" w:eastAsia="Times New Roman" w:hAnsi="Times New Roman" w:cs="Times New Roman"/>
      <w:sz w:val="24"/>
      <w:szCs w:val="24"/>
      <w:lang w:val="en-AU" w:eastAsia="en-AU"/>
    </w:rPr>
  </w:style>
  <w:style w:type="character" w:customStyle="1" w:styleId="FootnoteTextChar">
    <w:name w:val="Footnote Text Char"/>
    <w:basedOn w:val="DefaultParagraphFont"/>
    <w:link w:val="FootnoteText"/>
    <w:uiPriority w:val="99"/>
    <w:rsid w:val="004F3393"/>
    <w:rPr>
      <w:rFonts w:ascii="Times New Roman" w:eastAsia="Times New Roman" w:hAnsi="Times New Roman" w:cs="Times New Roman"/>
      <w:sz w:val="24"/>
      <w:szCs w:val="24"/>
      <w:lang w:val="en-AU" w:eastAsia="en-AU"/>
    </w:rPr>
  </w:style>
  <w:style w:type="paragraph" w:customStyle="1" w:styleId="CM31">
    <w:name w:val="CM31"/>
    <w:basedOn w:val="Default"/>
    <w:next w:val="Default"/>
    <w:rsid w:val="00660850"/>
    <w:pPr>
      <w:widowControl w:val="0"/>
      <w:spacing w:after="130"/>
    </w:pPr>
    <w:rPr>
      <w:rFonts w:ascii="Arial" w:hAnsi="Arial" w:cs="Times New Roman"/>
      <w:color w:val="auto"/>
    </w:rPr>
  </w:style>
  <w:style w:type="paragraph" w:customStyle="1" w:styleId="ColorfulList-Accent11">
    <w:name w:val="Colorful List - Accent 11"/>
    <w:basedOn w:val="Normal"/>
    <w:uiPriority w:val="34"/>
    <w:rsid w:val="00660850"/>
    <w:pPr>
      <w:spacing w:after="0" w:line="240" w:lineRule="auto"/>
      <w:ind w:left="720"/>
      <w:contextualSpacing/>
    </w:pPr>
    <w:rPr>
      <w:rFonts w:ascii="Times New Roman" w:eastAsia="Times New Roman" w:hAnsi="Times New Roman" w:cs="Times New Roman"/>
      <w:sz w:val="24"/>
      <w:szCs w:val="20"/>
      <w:lang w:val="en-AU"/>
    </w:rPr>
  </w:style>
  <w:style w:type="character" w:styleId="CommentReference">
    <w:name w:val="annotation reference"/>
    <w:basedOn w:val="DefaultParagraphFont"/>
    <w:uiPriority w:val="99"/>
    <w:semiHidden/>
    <w:unhideWhenUsed/>
    <w:rsid w:val="00A518EA"/>
    <w:rPr>
      <w:sz w:val="16"/>
      <w:szCs w:val="16"/>
    </w:rPr>
  </w:style>
  <w:style w:type="paragraph" w:styleId="CommentSubject">
    <w:name w:val="annotation subject"/>
    <w:basedOn w:val="CommentText"/>
    <w:next w:val="CommentText"/>
    <w:link w:val="CommentSubjectChar"/>
    <w:uiPriority w:val="99"/>
    <w:semiHidden/>
    <w:unhideWhenUsed/>
    <w:rsid w:val="00F8613B"/>
    <w:pPr>
      <w:spacing w:after="200"/>
    </w:pPr>
    <w:rPr>
      <w:rFonts w:asciiTheme="minorHAnsi" w:eastAsiaTheme="minorHAnsi" w:hAnsiTheme="minorHAnsi" w:cstheme="minorBidi"/>
      <w:b/>
      <w:bCs/>
      <w:lang w:val="en-US" w:eastAsia="en-US"/>
    </w:rPr>
  </w:style>
  <w:style w:type="character" w:customStyle="1" w:styleId="CommentSubjectChar">
    <w:name w:val="Comment Subject Char"/>
    <w:basedOn w:val="CommentTextChar"/>
    <w:link w:val="CommentSubject"/>
    <w:uiPriority w:val="99"/>
    <w:semiHidden/>
    <w:rsid w:val="00F8613B"/>
    <w:rPr>
      <w:rFonts w:ascii="Times New Roman" w:eastAsia="Times New Roman" w:hAnsi="Times New Roman" w:cs="Times New Roman"/>
      <w:b/>
      <w:bCs/>
      <w:sz w:val="20"/>
      <w:szCs w:val="20"/>
      <w:lang w:val="en-AU" w:eastAsia="en-AU"/>
    </w:rPr>
  </w:style>
  <w:style w:type="paragraph" w:customStyle="1" w:styleId="Pa6">
    <w:name w:val="Pa6"/>
    <w:basedOn w:val="Default"/>
    <w:next w:val="Default"/>
    <w:uiPriority w:val="99"/>
    <w:rsid w:val="008F58A1"/>
    <w:pPr>
      <w:spacing w:line="221" w:lineRule="atLeast"/>
    </w:pPr>
    <w:rPr>
      <w:rFonts w:ascii="Arial" w:eastAsiaTheme="minorHAnsi" w:hAnsi="Arial" w:cs="Arial"/>
      <w:color w:val="auto"/>
      <w:lang w:eastAsia="en-US"/>
    </w:rPr>
  </w:style>
  <w:style w:type="paragraph" w:customStyle="1" w:styleId="Pa9">
    <w:name w:val="Pa9"/>
    <w:basedOn w:val="Default"/>
    <w:next w:val="Default"/>
    <w:uiPriority w:val="99"/>
    <w:rsid w:val="00447506"/>
    <w:pPr>
      <w:spacing w:line="281" w:lineRule="atLeast"/>
    </w:pPr>
    <w:rPr>
      <w:rFonts w:ascii="Century Gothic" w:eastAsiaTheme="minorHAnsi" w:hAnsi="Century Gothic" w:cstheme="minorBidi"/>
      <w:color w:val="auto"/>
      <w:lang w:eastAsia="en-US"/>
    </w:rPr>
  </w:style>
  <w:style w:type="paragraph" w:customStyle="1" w:styleId="Pa10">
    <w:name w:val="Pa10"/>
    <w:basedOn w:val="Default"/>
    <w:next w:val="Default"/>
    <w:uiPriority w:val="99"/>
    <w:rsid w:val="00447506"/>
    <w:pPr>
      <w:spacing w:line="221" w:lineRule="atLeast"/>
    </w:pPr>
    <w:rPr>
      <w:rFonts w:ascii="Century Gothic" w:eastAsiaTheme="minorHAnsi" w:hAnsi="Century Gothic" w:cstheme="minorBidi"/>
      <w:color w:val="auto"/>
      <w:lang w:eastAsia="en-US"/>
    </w:rPr>
  </w:style>
  <w:style w:type="character" w:customStyle="1" w:styleId="A12">
    <w:name w:val="A12"/>
    <w:uiPriority w:val="99"/>
    <w:rsid w:val="00447506"/>
    <w:rPr>
      <w:rFonts w:ascii="Arial" w:hAnsi="Arial" w:cs="Arial"/>
      <w:color w:val="221E1F"/>
      <w:sz w:val="22"/>
      <w:szCs w:val="22"/>
    </w:rPr>
  </w:style>
  <w:style w:type="character" w:customStyle="1" w:styleId="A7">
    <w:name w:val="A7"/>
    <w:uiPriority w:val="99"/>
    <w:rsid w:val="00447506"/>
    <w:rPr>
      <w:rFonts w:ascii="ITC Avant Garde Std Bk" w:hAnsi="ITC Avant Garde Std Bk" w:cs="ITC Avant Garde Std Bk"/>
      <w:i/>
      <w:iCs/>
      <w:color w:val="221E1F"/>
      <w:sz w:val="12"/>
      <w:szCs w:val="12"/>
    </w:rPr>
  </w:style>
  <w:style w:type="character" w:styleId="Strong">
    <w:name w:val="Strong"/>
    <w:basedOn w:val="DefaultParagraphFont"/>
    <w:uiPriority w:val="22"/>
    <w:rsid w:val="008066A2"/>
    <w:rPr>
      <w:b/>
      <w:bCs/>
    </w:rPr>
  </w:style>
  <w:style w:type="character" w:styleId="Hyperlink">
    <w:name w:val="Hyperlink"/>
    <w:uiPriority w:val="99"/>
    <w:qFormat/>
    <w:rsid w:val="003D3B36"/>
    <w:rPr>
      <w:rFonts w:ascii="Arial" w:hAnsi="Arial"/>
      <w:color w:val="F00078"/>
      <w:sz w:val="22"/>
      <w:u w:val="single"/>
    </w:rPr>
  </w:style>
  <w:style w:type="paragraph" w:styleId="Revision">
    <w:name w:val="Revision"/>
    <w:hidden/>
    <w:uiPriority w:val="99"/>
    <w:semiHidden/>
    <w:rsid w:val="00F84346"/>
  </w:style>
  <w:style w:type="paragraph" w:styleId="TOCHeading">
    <w:name w:val="TOC Heading"/>
    <w:basedOn w:val="Heading1"/>
    <w:next w:val="Normal"/>
    <w:uiPriority w:val="39"/>
    <w:semiHidden/>
    <w:unhideWhenUsed/>
    <w:qFormat/>
    <w:rsid w:val="00B62C02"/>
    <w:pPr>
      <w:keepNext/>
      <w:keepLines/>
      <w:spacing w:before="480" w:after="0" w:line="276" w:lineRule="auto"/>
      <w:ind w:right="0"/>
      <w:jc w:val="both"/>
      <w:outlineLvl w:val="9"/>
    </w:pPr>
    <w:rPr>
      <w:rFonts w:asciiTheme="majorHAnsi" w:eastAsiaTheme="majorEastAsia" w:hAnsiTheme="majorHAnsi" w:cstheme="majorBidi"/>
      <w:color w:val="345A8A" w:themeColor="accent1" w:themeShade="B5"/>
      <w:spacing w:val="0"/>
    </w:rPr>
  </w:style>
  <w:style w:type="paragraph" w:styleId="TOC3">
    <w:name w:val="toc 3"/>
    <w:basedOn w:val="Normal"/>
    <w:next w:val="Normal"/>
    <w:autoRedefine/>
    <w:uiPriority w:val="39"/>
    <w:unhideWhenUsed/>
    <w:rsid w:val="00B62C02"/>
    <w:pPr>
      <w:spacing w:after="0"/>
    </w:pPr>
    <w:rPr>
      <w:rFonts w:cstheme="minorHAnsi"/>
      <w:smallCaps/>
    </w:rPr>
  </w:style>
  <w:style w:type="paragraph" w:styleId="TOC1">
    <w:name w:val="toc 1"/>
    <w:basedOn w:val="Normal"/>
    <w:next w:val="Normal"/>
    <w:autoRedefine/>
    <w:uiPriority w:val="39"/>
    <w:unhideWhenUsed/>
    <w:rsid w:val="00B62C02"/>
    <w:pPr>
      <w:spacing w:before="360" w:after="360"/>
    </w:pPr>
    <w:rPr>
      <w:rFonts w:cstheme="minorHAnsi"/>
      <w:b/>
      <w:bCs/>
      <w:caps/>
      <w:u w:val="single"/>
    </w:rPr>
  </w:style>
  <w:style w:type="paragraph" w:styleId="TOC2">
    <w:name w:val="toc 2"/>
    <w:basedOn w:val="Normal"/>
    <w:next w:val="Normal"/>
    <w:autoRedefine/>
    <w:uiPriority w:val="39"/>
    <w:unhideWhenUsed/>
    <w:rsid w:val="00E71E92"/>
    <w:pPr>
      <w:spacing w:after="0"/>
    </w:pPr>
    <w:rPr>
      <w:rFonts w:cstheme="minorHAnsi"/>
      <w:b/>
      <w:bCs/>
      <w:smallCaps/>
    </w:rPr>
  </w:style>
  <w:style w:type="paragraph" w:styleId="TOC4">
    <w:name w:val="toc 4"/>
    <w:basedOn w:val="Normal"/>
    <w:next w:val="Normal"/>
    <w:autoRedefine/>
    <w:uiPriority w:val="39"/>
    <w:unhideWhenUsed/>
    <w:rsid w:val="00E71E92"/>
    <w:pPr>
      <w:spacing w:after="0"/>
    </w:pPr>
    <w:rPr>
      <w:rFonts w:cstheme="minorHAnsi"/>
    </w:rPr>
  </w:style>
  <w:style w:type="paragraph" w:styleId="TOC5">
    <w:name w:val="toc 5"/>
    <w:basedOn w:val="Normal"/>
    <w:next w:val="Normal"/>
    <w:autoRedefine/>
    <w:uiPriority w:val="39"/>
    <w:unhideWhenUsed/>
    <w:rsid w:val="00E71E92"/>
    <w:pPr>
      <w:spacing w:after="0"/>
    </w:pPr>
    <w:rPr>
      <w:rFonts w:cstheme="minorHAnsi"/>
    </w:rPr>
  </w:style>
  <w:style w:type="paragraph" w:styleId="TOC6">
    <w:name w:val="toc 6"/>
    <w:basedOn w:val="Normal"/>
    <w:next w:val="Normal"/>
    <w:autoRedefine/>
    <w:uiPriority w:val="39"/>
    <w:unhideWhenUsed/>
    <w:rsid w:val="00E71E92"/>
    <w:pPr>
      <w:spacing w:after="0"/>
    </w:pPr>
    <w:rPr>
      <w:rFonts w:cstheme="minorHAnsi"/>
    </w:rPr>
  </w:style>
  <w:style w:type="paragraph" w:styleId="TOC7">
    <w:name w:val="toc 7"/>
    <w:basedOn w:val="Normal"/>
    <w:next w:val="Normal"/>
    <w:autoRedefine/>
    <w:uiPriority w:val="39"/>
    <w:unhideWhenUsed/>
    <w:rsid w:val="00E71E92"/>
    <w:pPr>
      <w:spacing w:after="0"/>
    </w:pPr>
    <w:rPr>
      <w:rFonts w:cstheme="minorHAnsi"/>
    </w:rPr>
  </w:style>
  <w:style w:type="paragraph" w:styleId="TOC8">
    <w:name w:val="toc 8"/>
    <w:basedOn w:val="Normal"/>
    <w:next w:val="Normal"/>
    <w:autoRedefine/>
    <w:uiPriority w:val="39"/>
    <w:unhideWhenUsed/>
    <w:rsid w:val="00E71E92"/>
    <w:pPr>
      <w:spacing w:after="0"/>
    </w:pPr>
    <w:rPr>
      <w:rFonts w:cstheme="minorHAnsi"/>
    </w:rPr>
  </w:style>
  <w:style w:type="paragraph" w:styleId="TOC9">
    <w:name w:val="toc 9"/>
    <w:basedOn w:val="Normal"/>
    <w:next w:val="Normal"/>
    <w:autoRedefine/>
    <w:uiPriority w:val="39"/>
    <w:unhideWhenUsed/>
    <w:rsid w:val="00E71E92"/>
    <w:pPr>
      <w:spacing w:after="0"/>
    </w:pPr>
    <w:rPr>
      <w:rFonts w:cstheme="minorHAnsi"/>
    </w:rPr>
  </w:style>
  <w:style w:type="character" w:styleId="FollowedHyperlink">
    <w:name w:val="FollowedHyperlink"/>
    <w:basedOn w:val="DefaultParagraphFont"/>
    <w:uiPriority w:val="99"/>
    <w:semiHidden/>
    <w:unhideWhenUsed/>
    <w:rsid w:val="00CE51AB"/>
    <w:rPr>
      <w:color w:val="800080" w:themeColor="followedHyperlink"/>
      <w:u w:val="single"/>
    </w:rPr>
  </w:style>
  <w:style w:type="paragraph" w:styleId="Title">
    <w:name w:val="Title"/>
    <w:basedOn w:val="Normal"/>
    <w:next w:val="Normal"/>
    <w:link w:val="TitleChar"/>
    <w:uiPriority w:val="10"/>
    <w:qFormat/>
    <w:rsid w:val="0009727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09727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B05A2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B05A2A"/>
    <w:rPr>
      <w:rFonts w:asciiTheme="majorHAnsi" w:eastAsiaTheme="majorEastAsia" w:hAnsiTheme="majorHAnsi" w:cstheme="majorBidi"/>
      <w:i/>
      <w:iCs/>
      <w:color w:val="4F81BD" w:themeColor="accent1"/>
      <w:spacing w:val="15"/>
      <w:sz w:val="24"/>
      <w:szCs w:val="24"/>
    </w:rPr>
  </w:style>
  <w:style w:type="character" w:customStyle="1" w:styleId="Heading2Char">
    <w:name w:val="Heading 2 Char"/>
    <w:aliases w:val="Form - H2 Char"/>
    <w:basedOn w:val="DefaultParagraphFont"/>
    <w:link w:val="Heading2"/>
    <w:uiPriority w:val="1"/>
    <w:rsid w:val="003D3B36"/>
    <w:rPr>
      <w:rFonts w:ascii="Arial" w:eastAsia="Calibri" w:hAnsi="Arial" w:cs="Calibri"/>
      <w:b/>
      <w:bCs/>
      <w:color w:val="280070"/>
      <w:spacing w:val="-2"/>
      <w:sz w:val="28"/>
      <w:szCs w:val="28"/>
      <w:lang w:eastAsia="en-AU"/>
    </w:rPr>
  </w:style>
  <w:style w:type="paragraph" w:styleId="DocumentMap">
    <w:name w:val="Document Map"/>
    <w:basedOn w:val="Normal"/>
    <w:link w:val="DocumentMapChar"/>
    <w:uiPriority w:val="99"/>
    <w:semiHidden/>
    <w:unhideWhenUsed/>
    <w:rsid w:val="003D3B36"/>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3D3B36"/>
    <w:rPr>
      <w:rFonts w:ascii="Lucida Grande" w:hAnsi="Lucida Grande" w:cs="Lucida Grande"/>
      <w:sz w:val="24"/>
      <w:szCs w:val="24"/>
    </w:rPr>
  </w:style>
  <w:style w:type="character" w:customStyle="1" w:styleId="Heading3Char">
    <w:name w:val="Heading 3 Char"/>
    <w:aliases w:val="Form - H3 Char"/>
    <w:basedOn w:val="DefaultParagraphFont"/>
    <w:link w:val="Heading3"/>
    <w:uiPriority w:val="9"/>
    <w:rsid w:val="003D3B36"/>
    <w:rPr>
      <w:rFonts w:ascii="Arial" w:eastAsia="Times New Roman" w:hAnsi="Arial" w:cs="Times New Roman"/>
      <w:b/>
      <w:color w:val="280070"/>
      <w:sz w:val="22"/>
      <w:szCs w:val="22"/>
      <w:lang w:val="en-AU"/>
    </w:rPr>
  </w:style>
  <w:style w:type="paragraph" w:styleId="BodyText">
    <w:name w:val="Body Text"/>
    <w:basedOn w:val="Normal"/>
    <w:link w:val="BodyTextChar"/>
    <w:uiPriority w:val="1"/>
    <w:qFormat/>
    <w:rsid w:val="003D3B36"/>
  </w:style>
  <w:style w:type="character" w:customStyle="1" w:styleId="BodyTextChar">
    <w:name w:val="Body Text Char"/>
    <w:basedOn w:val="DefaultParagraphFont"/>
    <w:link w:val="BodyText"/>
    <w:uiPriority w:val="1"/>
    <w:rsid w:val="003D3B36"/>
    <w:rPr>
      <w:rFonts w:ascii="Arial" w:eastAsia="Calibri" w:hAnsi="Arial"/>
      <w:sz w:val="22"/>
      <w:szCs w:val="22"/>
    </w:rPr>
  </w:style>
  <w:style w:type="character" w:customStyle="1" w:styleId="Heading4Char">
    <w:name w:val="Heading 4 Char"/>
    <w:basedOn w:val="DefaultParagraphFont"/>
    <w:link w:val="Heading4"/>
    <w:uiPriority w:val="9"/>
    <w:rsid w:val="00057ACE"/>
    <w:rPr>
      <w:rFonts w:ascii="Arial" w:eastAsia="Times New Roman" w:hAnsi="Arial" w:cs="Times New Roman"/>
      <w:b/>
      <w:color w:val="280070"/>
      <w:sz w:val="22"/>
      <w:szCs w:val="22"/>
      <w:lang w:val="en-AU"/>
    </w:rPr>
  </w:style>
  <w:style w:type="paragraph" w:styleId="BodyText2">
    <w:name w:val="Body Text 2"/>
    <w:aliases w:val="Table paragraph"/>
    <w:basedOn w:val="Normal"/>
    <w:link w:val="BodyText2Char"/>
    <w:uiPriority w:val="99"/>
    <w:semiHidden/>
    <w:unhideWhenUsed/>
    <w:qFormat/>
    <w:rsid w:val="003D3B36"/>
    <w:pPr>
      <w:spacing w:after="0"/>
      <w:jc w:val="left"/>
    </w:pPr>
    <w:rPr>
      <w:rFonts w:cs="Times New Roman"/>
      <w:lang w:eastAsia="en-AU"/>
    </w:rPr>
  </w:style>
  <w:style w:type="character" w:customStyle="1" w:styleId="BodyText2Char">
    <w:name w:val="Body Text 2 Char"/>
    <w:aliases w:val="Table paragraph Char"/>
    <w:basedOn w:val="DefaultParagraphFont"/>
    <w:link w:val="BodyText2"/>
    <w:uiPriority w:val="99"/>
    <w:semiHidden/>
    <w:rsid w:val="003D3B36"/>
    <w:rPr>
      <w:rFonts w:ascii="Arial" w:eastAsia="Calibri" w:hAnsi="Arial" w:cs="Times New Roman"/>
      <w:sz w:val="22"/>
      <w:szCs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3332155">
      <w:bodyDiv w:val="1"/>
      <w:marLeft w:val="0"/>
      <w:marRight w:val="0"/>
      <w:marTop w:val="0"/>
      <w:marBottom w:val="0"/>
      <w:divBdr>
        <w:top w:val="none" w:sz="0" w:space="0" w:color="auto"/>
        <w:left w:val="none" w:sz="0" w:space="0" w:color="auto"/>
        <w:bottom w:val="none" w:sz="0" w:space="0" w:color="auto"/>
        <w:right w:val="none" w:sz="0" w:space="0" w:color="auto"/>
      </w:divBdr>
    </w:div>
    <w:div w:id="1014722772">
      <w:bodyDiv w:val="1"/>
      <w:marLeft w:val="0"/>
      <w:marRight w:val="0"/>
      <w:marTop w:val="0"/>
      <w:marBottom w:val="0"/>
      <w:divBdr>
        <w:top w:val="none" w:sz="0" w:space="0" w:color="auto"/>
        <w:left w:val="none" w:sz="0" w:space="0" w:color="auto"/>
        <w:bottom w:val="none" w:sz="0" w:space="0" w:color="auto"/>
        <w:right w:val="none" w:sz="0" w:space="0" w:color="auto"/>
      </w:divBdr>
    </w:div>
    <w:div w:id="1156916183">
      <w:bodyDiv w:val="1"/>
      <w:marLeft w:val="0"/>
      <w:marRight w:val="0"/>
      <w:marTop w:val="0"/>
      <w:marBottom w:val="0"/>
      <w:divBdr>
        <w:top w:val="none" w:sz="0" w:space="0" w:color="auto"/>
        <w:left w:val="none" w:sz="0" w:space="0" w:color="auto"/>
        <w:bottom w:val="none" w:sz="0" w:space="0" w:color="auto"/>
        <w:right w:val="none" w:sz="0" w:space="0" w:color="auto"/>
      </w:divBdr>
    </w:div>
    <w:div w:id="1314796075">
      <w:bodyDiv w:val="1"/>
      <w:marLeft w:val="0"/>
      <w:marRight w:val="0"/>
      <w:marTop w:val="0"/>
      <w:marBottom w:val="0"/>
      <w:divBdr>
        <w:top w:val="none" w:sz="0" w:space="0" w:color="auto"/>
        <w:left w:val="none" w:sz="0" w:space="0" w:color="auto"/>
        <w:bottom w:val="none" w:sz="0" w:space="0" w:color="auto"/>
        <w:right w:val="none" w:sz="0" w:space="0" w:color="auto"/>
      </w:divBdr>
    </w:div>
    <w:div w:id="1471358115">
      <w:bodyDiv w:val="1"/>
      <w:marLeft w:val="0"/>
      <w:marRight w:val="0"/>
      <w:marTop w:val="0"/>
      <w:marBottom w:val="0"/>
      <w:divBdr>
        <w:top w:val="none" w:sz="0" w:space="0" w:color="auto"/>
        <w:left w:val="none" w:sz="0" w:space="0" w:color="auto"/>
        <w:bottom w:val="none" w:sz="0" w:space="0" w:color="auto"/>
        <w:right w:val="none" w:sz="0" w:space="0" w:color="auto"/>
      </w:divBdr>
    </w:div>
    <w:div w:id="1524398342">
      <w:bodyDiv w:val="1"/>
      <w:marLeft w:val="0"/>
      <w:marRight w:val="0"/>
      <w:marTop w:val="0"/>
      <w:marBottom w:val="0"/>
      <w:divBdr>
        <w:top w:val="none" w:sz="0" w:space="0" w:color="auto"/>
        <w:left w:val="none" w:sz="0" w:space="0" w:color="auto"/>
        <w:bottom w:val="none" w:sz="0" w:space="0" w:color="auto"/>
        <w:right w:val="none" w:sz="0" w:space="0" w:color="auto"/>
      </w:divBdr>
    </w:div>
    <w:div w:id="1565097386">
      <w:bodyDiv w:val="1"/>
      <w:marLeft w:val="0"/>
      <w:marRight w:val="0"/>
      <w:marTop w:val="0"/>
      <w:marBottom w:val="0"/>
      <w:divBdr>
        <w:top w:val="none" w:sz="0" w:space="0" w:color="auto"/>
        <w:left w:val="none" w:sz="0" w:space="0" w:color="auto"/>
        <w:bottom w:val="none" w:sz="0" w:space="0" w:color="auto"/>
        <w:right w:val="none" w:sz="0" w:space="0" w:color="auto"/>
      </w:divBdr>
    </w:div>
    <w:div w:id="1651211462">
      <w:bodyDiv w:val="1"/>
      <w:marLeft w:val="0"/>
      <w:marRight w:val="0"/>
      <w:marTop w:val="0"/>
      <w:marBottom w:val="0"/>
      <w:divBdr>
        <w:top w:val="none" w:sz="0" w:space="0" w:color="auto"/>
        <w:left w:val="none" w:sz="0" w:space="0" w:color="auto"/>
        <w:bottom w:val="none" w:sz="0" w:space="0" w:color="auto"/>
        <w:right w:val="none" w:sz="0" w:space="0" w:color="auto"/>
      </w:divBdr>
    </w:div>
    <w:div w:id="1789162830">
      <w:bodyDiv w:val="1"/>
      <w:marLeft w:val="0"/>
      <w:marRight w:val="0"/>
      <w:marTop w:val="0"/>
      <w:marBottom w:val="0"/>
      <w:divBdr>
        <w:top w:val="none" w:sz="0" w:space="0" w:color="auto"/>
        <w:left w:val="none" w:sz="0" w:space="0" w:color="auto"/>
        <w:bottom w:val="none" w:sz="0" w:space="0" w:color="auto"/>
        <w:right w:val="none" w:sz="0" w:space="0" w:color="auto"/>
      </w:divBdr>
    </w:div>
    <w:div w:id="1953318970">
      <w:bodyDiv w:val="1"/>
      <w:marLeft w:val="0"/>
      <w:marRight w:val="0"/>
      <w:marTop w:val="0"/>
      <w:marBottom w:val="0"/>
      <w:divBdr>
        <w:top w:val="none" w:sz="0" w:space="0" w:color="auto"/>
        <w:left w:val="none" w:sz="0" w:space="0" w:color="auto"/>
        <w:bottom w:val="none" w:sz="0" w:space="0" w:color="auto"/>
        <w:right w:val="none" w:sz="0" w:space="0" w:color="auto"/>
      </w:divBdr>
    </w:div>
    <w:div w:id="2105031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2011-06-01T00:00:00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0845189-8571-47C6-B8EF-8871D07AE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934</Words>
  <Characters>5325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Inclusion of a Primary Teaching specialisation within an accredited Initial Teacher Education program</vt:lpstr>
    </vt:vector>
  </TitlesOfParts>
  <Company>NSW Education Standards Authority</Company>
  <LinksUpToDate>false</LinksUpToDate>
  <CharactersWithSpaces>6247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Inclusion of a Primary Teaching specialisation within an accredited Initial Teacher Education program</dc:title>
  <dc:creator>NSW Education Standards Authority</dc:creator>
  <cp:lastModifiedBy>Mara Lucis</cp:lastModifiedBy>
  <cp:revision>3</cp:revision>
  <cp:lastPrinted>2016-08-11T06:27:00Z</cp:lastPrinted>
  <dcterms:created xsi:type="dcterms:W3CDTF">2018-11-20T02:40:00Z</dcterms:created>
  <dcterms:modified xsi:type="dcterms:W3CDTF">2018-11-20T03:37:00Z</dcterms:modified>
</cp:coreProperties>
</file>