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32F8E551" w:rsidR="003D3A72" w:rsidRDefault="00840BC0" w:rsidP="003D3A72">
          <w:pPr>
            <w:pStyle w:val="Title"/>
          </w:pPr>
          <w:r w:rsidRPr="00840BC0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S2 Record of learning and achievement using syllabus </w:t>
          </w:r>
          <w:r w:rsidR="00EE6323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6C230624" w:rsidR="00496C6F" w:rsidRDefault="005D0CE9" w:rsidP="00496C6F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C035DF" w14:paraId="123B246F" w14:textId="77777777" w:rsidTr="00601258">
        <w:tc>
          <w:tcPr>
            <w:tcW w:w="5042" w:type="dxa"/>
          </w:tcPr>
          <w:p w14:paraId="37D56471" w14:textId="77777777" w:rsidR="00C035DF" w:rsidRPr="00C035DF" w:rsidRDefault="00C035DF" w:rsidP="00C035DF">
            <w:pPr>
              <w:spacing w:after="120"/>
              <w:rPr>
                <w:b/>
                <w:lang w:eastAsia="en-AU"/>
              </w:rPr>
            </w:pPr>
            <w:r w:rsidRPr="00C035DF">
              <w:rPr>
                <w:b/>
                <w:lang w:eastAsia="en-AU"/>
              </w:rPr>
              <w:t>Oral language and communication</w:t>
            </w:r>
          </w:p>
          <w:p w14:paraId="107B25BC" w14:textId="77777777" w:rsidR="00C035DF" w:rsidRDefault="00C035DF" w:rsidP="00C035DF">
            <w:pPr>
              <w:spacing w:after="120"/>
              <w:rPr>
                <w:b/>
                <w:lang w:eastAsia="en-AU"/>
              </w:rPr>
            </w:pPr>
            <w:r>
              <w:rPr>
                <w:lang w:eastAsia="en-AU"/>
              </w:rPr>
              <w:t>Interacting</w:t>
            </w:r>
          </w:p>
          <w:p w14:paraId="5F63593D" w14:textId="77777777" w:rsidR="00C035DF" w:rsidRDefault="00C035DF" w:rsidP="00C035DF">
            <w:pPr>
              <w:spacing w:after="120"/>
              <w:rPr>
                <w:lang w:eastAsia="en-AU"/>
              </w:rPr>
            </w:pPr>
            <w:r>
              <w:rPr>
                <w:lang w:eastAsia="en-AU"/>
              </w:rPr>
              <w:t>Listening for understanding</w:t>
            </w:r>
          </w:p>
          <w:p w14:paraId="732AE6D9" w14:textId="2E808FBD" w:rsidR="00C035DF" w:rsidRPr="00C035DF" w:rsidRDefault="00C035DF" w:rsidP="00C035DF">
            <w:pPr>
              <w:spacing w:after="120"/>
              <w:rPr>
                <w:lang w:eastAsia="en-AU"/>
              </w:rPr>
            </w:pPr>
            <w:r>
              <w:rPr>
                <w:lang w:eastAsia="en-AU"/>
              </w:rPr>
              <w:t>Presenting</w:t>
            </w:r>
          </w:p>
        </w:tc>
        <w:tc>
          <w:tcPr>
            <w:tcW w:w="5042" w:type="dxa"/>
          </w:tcPr>
          <w:p w14:paraId="4FE707A5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</w:tr>
      <w:tr w:rsidR="00C035DF" w14:paraId="0B7DC05A" w14:textId="77777777" w:rsidTr="00601258">
        <w:tc>
          <w:tcPr>
            <w:tcW w:w="5042" w:type="dxa"/>
          </w:tcPr>
          <w:p w14:paraId="3F0E78F3" w14:textId="77777777" w:rsidR="00C035DF" w:rsidRDefault="00C035DF" w:rsidP="00C035DF">
            <w:pPr>
              <w:spacing w:after="120"/>
              <w:rPr>
                <w:rFonts w:cs="Arial"/>
                <w:b/>
                <w:bCs/>
                <w:noProof/>
                <w:lang w:eastAsia="en-AU"/>
              </w:rPr>
            </w:pPr>
            <w:r>
              <w:rPr>
                <w:rFonts w:cs="Arial"/>
                <w:b/>
                <w:bCs/>
                <w:noProof/>
                <w:lang w:eastAsia="en-AU"/>
              </w:rPr>
              <w:t>Vocabulary</w:t>
            </w:r>
          </w:p>
          <w:p w14:paraId="2942E64F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Learning and using words</w:t>
            </w:r>
          </w:p>
          <w:p w14:paraId="739B22A0" w14:textId="068A2AFC" w:rsidR="00C035DF" w:rsidRPr="00930DCB" w:rsidRDefault="00C035DF" w:rsidP="00C035D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cs="Arial"/>
                <w:noProof/>
                <w:lang w:eastAsia="en-AU"/>
              </w:rPr>
              <w:t>Defining and analysing words</w:t>
            </w:r>
          </w:p>
        </w:tc>
        <w:tc>
          <w:tcPr>
            <w:tcW w:w="5042" w:type="dxa"/>
          </w:tcPr>
          <w:p w14:paraId="218C457E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D52C5DF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</w:tr>
      <w:tr w:rsidR="00C035DF" w14:paraId="40E048FE" w14:textId="77777777" w:rsidTr="00601258">
        <w:tc>
          <w:tcPr>
            <w:tcW w:w="5042" w:type="dxa"/>
          </w:tcPr>
          <w:p w14:paraId="75B793C2" w14:textId="77777777" w:rsidR="00C035DF" w:rsidRDefault="00C035DF" w:rsidP="00C035DF">
            <w:pPr>
              <w:spacing w:after="120"/>
              <w:rPr>
                <w:rFonts w:cs="Arial"/>
                <w:b/>
                <w:bCs/>
                <w:noProof/>
                <w:lang w:eastAsia="en-AU"/>
              </w:rPr>
            </w:pPr>
            <w:r>
              <w:rPr>
                <w:rFonts w:cs="Arial"/>
                <w:b/>
                <w:bCs/>
                <w:noProof/>
                <w:lang w:eastAsia="en-AU"/>
              </w:rPr>
              <w:t>Reading fluency</w:t>
            </w:r>
          </w:p>
          <w:p w14:paraId="1EAC7F60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Reading automaticity and rate</w:t>
            </w:r>
          </w:p>
          <w:p w14:paraId="5A9F5021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Prosody</w:t>
            </w:r>
          </w:p>
          <w:p w14:paraId="2D6F21EA" w14:textId="26FBB15F" w:rsidR="00C035DF" w:rsidRP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Monitoring reading fluency</w:t>
            </w:r>
            <w:r>
              <w:rPr>
                <w:rFonts w:cs="Arial"/>
                <w:lang w:eastAsia="en-AU"/>
              </w:rPr>
              <w:tab/>
            </w:r>
            <w:r>
              <w:rPr>
                <w:rFonts w:cs="Arial"/>
                <w:lang w:eastAsia="en-AU"/>
              </w:rPr>
              <w:tab/>
            </w:r>
          </w:p>
        </w:tc>
        <w:tc>
          <w:tcPr>
            <w:tcW w:w="5042" w:type="dxa"/>
          </w:tcPr>
          <w:p w14:paraId="1B74D378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BE164AE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</w:tr>
      <w:tr w:rsidR="00C035DF" w14:paraId="4FEFC43B" w14:textId="77777777" w:rsidTr="00601258">
        <w:tc>
          <w:tcPr>
            <w:tcW w:w="5042" w:type="dxa"/>
          </w:tcPr>
          <w:p w14:paraId="007B9355" w14:textId="77777777" w:rsidR="00C035DF" w:rsidRDefault="00C035DF" w:rsidP="00C035DF">
            <w:pPr>
              <w:spacing w:after="120"/>
              <w:rPr>
                <w:rFonts w:cs="Arial"/>
                <w:b/>
                <w:bCs/>
                <w:noProof/>
                <w:lang w:eastAsia="en-AU"/>
              </w:rPr>
            </w:pPr>
            <w:r>
              <w:rPr>
                <w:rFonts w:cs="Arial"/>
                <w:b/>
                <w:bCs/>
                <w:noProof/>
                <w:lang w:eastAsia="en-AU"/>
              </w:rPr>
              <w:t>Reading comprehension</w:t>
            </w:r>
          </w:p>
          <w:p w14:paraId="1FCFCB98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Reading for interest and wide purposes</w:t>
            </w:r>
          </w:p>
          <w:p w14:paraId="01C2440A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Comprehending text structures and features</w:t>
            </w:r>
          </w:p>
          <w:p w14:paraId="14B8ECFE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Comprehending language</w:t>
            </w:r>
          </w:p>
          <w:p w14:paraId="7F5F5090" w14:textId="156894B2" w:rsidR="00C035DF" w:rsidRPr="00930DCB" w:rsidRDefault="00C035DF" w:rsidP="00C035D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cs="Arial"/>
                <w:noProof/>
                <w:lang w:eastAsia="en-AU"/>
              </w:rPr>
              <w:t>Monitoring comprehension</w:t>
            </w:r>
          </w:p>
        </w:tc>
        <w:tc>
          <w:tcPr>
            <w:tcW w:w="5042" w:type="dxa"/>
          </w:tcPr>
          <w:p w14:paraId="06A2A75E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8FB68CA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</w:tr>
      <w:tr w:rsidR="00C035DF" w14:paraId="59183646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44C4AF5C" w14:textId="77777777" w:rsidR="00C035DF" w:rsidRDefault="00C035DF" w:rsidP="00C035DF">
            <w:pPr>
              <w:spacing w:after="120"/>
              <w:rPr>
                <w:rFonts w:cs="Arial"/>
                <w:b/>
                <w:bCs/>
                <w:noProof/>
                <w:lang w:eastAsia="en-AU"/>
              </w:rPr>
            </w:pPr>
            <w:r>
              <w:rPr>
                <w:rFonts w:cs="Arial"/>
                <w:b/>
                <w:bCs/>
                <w:noProof/>
                <w:lang w:eastAsia="en-AU"/>
              </w:rPr>
              <w:t>Creating written texts</w:t>
            </w:r>
          </w:p>
          <w:p w14:paraId="4888476B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Imaginative purposes</w:t>
            </w:r>
          </w:p>
          <w:p w14:paraId="2F28BC66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lastRenderedPageBreak/>
              <w:t>Informative purposes</w:t>
            </w:r>
          </w:p>
          <w:p w14:paraId="48D05771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Persuasive purposes</w:t>
            </w:r>
          </w:p>
          <w:p w14:paraId="7BB76157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Sentence-level grammar</w:t>
            </w:r>
          </w:p>
          <w:p w14:paraId="451E37E6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Punctuation</w:t>
            </w:r>
          </w:p>
          <w:p w14:paraId="33533E9C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Word-level language</w:t>
            </w:r>
          </w:p>
          <w:p w14:paraId="0FEA886F" w14:textId="1B95A829" w:rsidR="00C035DF" w:rsidRPr="006F6DD0" w:rsidRDefault="00C035DF" w:rsidP="00C035DF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Planning, monitoring and revising</w:t>
            </w:r>
          </w:p>
        </w:tc>
        <w:tc>
          <w:tcPr>
            <w:tcW w:w="5042" w:type="dxa"/>
          </w:tcPr>
          <w:p w14:paraId="3380C718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</w:tr>
      <w:tr w:rsidR="00C035DF" w14:paraId="6F1CFD9A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3EE1FC44" w14:textId="77777777" w:rsidR="00C035DF" w:rsidRDefault="00C035DF" w:rsidP="00C035DF">
            <w:pPr>
              <w:spacing w:after="120"/>
              <w:rPr>
                <w:rFonts w:cs="Arial"/>
                <w:b/>
                <w:bCs/>
                <w:noProof/>
                <w:lang w:eastAsia="en-AU"/>
              </w:rPr>
            </w:pPr>
            <w:r>
              <w:rPr>
                <w:rFonts w:cs="Arial"/>
                <w:b/>
                <w:bCs/>
                <w:noProof/>
                <w:lang w:eastAsia="en-AU"/>
              </w:rPr>
              <w:t>Spelling</w:t>
            </w:r>
          </w:p>
          <w:p w14:paraId="7E978442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Phonological component</w:t>
            </w:r>
          </w:p>
          <w:p w14:paraId="15B9C3BA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Orthographic component</w:t>
            </w:r>
          </w:p>
          <w:p w14:paraId="20928175" w14:textId="129671D7" w:rsidR="00C035DF" w:rsidRPr="006F6DD0" w:rsidRDefault="00C035DF" w:rsidP="00C035DF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Morphological component</w:t>
            </w:r>
          </w:p>
        </w:tc>
        <w:tc>
          <w:tcPr>
            <w:tcW w:w="5042" w:type="dxa"/>
          </w:tcPr>
          <w:p w14:paraId="2F7D1888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22E7A1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</w:tr>
      <w:tr w:rsidR="00C035DF" w14:paraId="404D55E7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21C7B0ED" w14:textId="77777777" w:rsidR="00C035DF" w:rsidRDefault="00C035DF" w:rsidP="00C035DF">
            <w:pPr>
              <w:spacing w:after="120"/>
              <w:rPr>
                <w:rFonts w:cs="Arial"/>
                <w:b/>
                <w:bCs/>
                <w:noProof/>
                <w:lang w:eastAsia="en-AU"/>
              </w:rPr>
            </w:pPr>
            <w:r>
              <w:rPr>
                <w:rFonts w:cs="Arial"/>
                <w:b/>
                <w:bCs/>
                <w:noProof/>
                <w:lang w:eastAsia="en-AU"/>
              </w:rPr>
              <w:t>Handwriting and digital transcription</w:t>
            </w:r>
          </w:p>
          <w:p w14:paraId="04DB42ED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Handwriting legibility and fluency</w:t>
            </w:r>
          </w:p>
          <w:p w14:paraId="1E399129" w14:textId="6AA334DE" w:rsidR="00C035DF" w:rsidRPr="006F6DD0" w:rsidRDefault="00C035DF" w:rsidP="00C035DF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Software functionalities and typing</w:t>
            </w:r>
          </w:p>
        </w:tc>
        <w:tc>
          <w:tcPr>
            <w:tcW w:w="5042" w:type="dxa"/>
          </w:tcPr>
          <w:p w14:paraId="2182A5F7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C25C6EE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</w:tr>
      <w:tr w:rsidR="00C035DF" w14:paraId="2681C1B7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5B57337B" w14:textId="77777777" w:rsidR="00C035DF" w:rsidRDefault="00C035DF" w:rsidP="00C035DF">
            <w:pPr>
              <w:spacing w:after="120"/>
              <w:rPr>
                <w:rFonts w:cs="Arial"/>
                <w:b/>
                <w:bCs/>
                <w:noProof/>
                <w:lang w:eastAsia="en-AU"/>
              </w:rPr>
            </w:pPr>
            <w:r>
              <w:rPr>
                <w:rFonts w:cs="Arial"/>
                <w:b/>
                <w:bCs/>
                <w:noProof/>
                <w:lang w:eastAsia="en-AU"/>
              </w:rPr>
              <w:t>Understanding and responding to literature</w:t>
            </w:r>
          </w:p>
          <w:p w14:paraId="3B5ED465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Narrative</w:t>
            </w:r>
          </w:p>
          <w:p w14:paraId="4006F0F2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Characterisation</w:t>
            </w:r>
          </w:p>
          <w:p w14:paraId="65564DFA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Imagery, symbol and connotation</w:t>
            </w:r>
          </w:p>
          <w:p w14:paraId="3AFA5666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Genre</w:t>
            </w:r>
          </w:p>
          <w:p w14:paraId="30D15415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Theme</w:t>
            </w:r>
          </w:p>
          <w:p w14:paraId="699378FA" w14:textId="77777777" w:rsidR="00C035DF" w:rsidRDefault="00C035DF" w:rsidP="00C035DF">
            <w:pPr>
              <w:spacing w:after="120"/>
              <w:rPr>
                <w:rFonts w:cs="Arial"/>
                <w:noProof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Perspective and context</w:t>
            </w:r>
          </w:p>
          <w:p w14:paraId="1FF31267" w14:textId="5994F65F" w:rsidR="00C035DF" w:rsidRPr="006F6DD0" w:rsidRDefault="00C035DF" w:rsidP="00C035DF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cs="Arial"/>
                <w:noProof/>
                <w:lang w:eastAsia="en-AU"/>
              </w:rPr>
              <w:t>Argument and authority</w:t>
            </w:r>
          </w:p>
        </w:tc>
        <w:tc>
          <w:tcPr>
            <w:tcW w:w="5042" w:type="dxa"/>
          </w:tcPr>
          <w:p w14:paraId="4B15B7D5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B3A4BFC" w14:textId="77777777" w:rsidR="00C035DF" w:rsidRPr="00274976" w:rsidRDefault="00C035DF" w:rsidP="00C035DF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7B1EC59" w:rsidR="007565F9" w:rsidRPr="00F646AE" w:rsidRDefault="00EE6323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English S2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C7A7531" w:rsidR="00696A1B" w:rsidRPr="00152C9A" w:rsidRDefault="00EE6323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English S2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842AAFE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063"/>
    <w:rsid w:val="001A3B79"/>
    <w:rsid w:val="001A7943"/>
    <w:rsid w:val="001C7AF7"/>
    <w:rsid w:val="001D6956"/>
    <w:rsid w:val="001E0403"/>
    <w:rsid w:val="001E74C9"/>
    <w:rsid w:val="002115E2"/>
    <w:rsid w:val="0023259E"/>
    <w:rsid w:val="002443D3"/>
    <w:rsid w:val="0024572E"/>
    <w:rsid w:val="00247898"/>
    <w:rsid w:val="0026171F"/>
    <w:rsid w:val="00264577"/>
    <w:rsid w:val="0027532F"/>
    <w:rsid w:val="002904B0"/>
    <w:rsid w:val="00291300"/>
    <w:rsid w:val="00291D49"/>
    <w:rsid w:val="00294033"/>
    <w:rsid w:val="00296B5B"/>
    <w:rsid w:val="002B08A5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3C22"/>
    <w:rsid w:val="005267EA"/>
    <w:rsid w:val="00533113"/>
    <w:rsid w:val="00535244"/>
    <w:rsid w:val="00574662"/>
    <w:rsid w:val="005761C3"/>
    <w:rsid w:val="00584BE0"/>
    <w:rsid w:val="005A08FA"/>
    <w:rsid w:val="005B4F14"/>
    <w:rsid w:val="005C306E"/>
    <w:rsid w:val="005C577F"/>
    <w:rsid w:val="005D0CE9"/>
    <w:rsid w:val="00614FB1"/>
    <w:rsid w:val="00635155"/>
    <w:rsid w:val="00636DFB"/>
    <w:rsid w:val="00651AD7"/>
    <w:rsid w:val="00684880"/>
    <w:rsid w:val="00696A1B"/>
    <w:rsid w:val="006B1C5E"/>
    <w:rsid w:val="006C6FBA"/>
    <w:rsid w:val="006D49D1"/>
    <w:rsid w:val="006F6DD0"/>
    <w:rsid w:val="006F77FB"/>
    <w:rsid w:val="00703CEF"/>
    <w:rsid w:val="00707B6C"/>
    <w:rsid w:val="00713709"/>
    <w:rsid w:val="007138DA"/>
    <w:rsid w:val="007245B2"/>
    <w:rsid w:val="007367E4"/>
    <w:rsid w:val="007565F9"/>
    <w:rsid w:val="0078247F"/>
    <w:rsid w:val="007D5ED6"/>
    <w:rsid w:val="007E3FC9"/>
    <w:rsid w:val="0080222E"/>
    <w:rsid w:val="00802256"/>
    <w:rsid w:val="008112C7"/>
    <w:rsid w:val="00840BC0"/>
    <w:rsid w:val="00855A01"/>
    <w:rsid w:val="00870C9A"/>
    <w:rsid w:val="008715C0"/>
    <w:rsid w:val="00883F65"/>
    <w:rsid w:val="008864B6"/>
    <w:rsid w:val="008B5284"/>
    <w:rsid w:val="00900E13"/>
    <w:rsid w:val="00906115"/>
    <w:rsid w:val="00942001"/>
    <w:rsid w:val="00954540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D7D57"/>
    <w:rsid w:val="00AF4EAB"/>
    <w:rsid w:val="00B04051"/>
    <w:rsid w:val="00B06793"/>
    <w:rsid w:val="00B06B91"/>
    <w:rsid w:val="00B3765A"/>
    <w:rsid w:val="00B50074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035DF"/>
    <w:rsid w:val="00C34946"/>
    <w:rsid w:val="00C50586"/>
    <w:rsid w:val="00C506E0"/>
    <w:rsid w:val="00C81F39"/>
    <w:rsid w:val="00C85106"/>
    <w:rsid w:val="00CB7C33"/>
    <w:rsid w:val="00CE1642"/>
    <w:rsid w:val="00CE6469"/>
    <w:rsid w:val="00D14D5C"/>
    <w:rsid w:val="00D42848"/>
    <w:rsid w:val="00D44BD5"/>
    <w:rsid w:val="00D450EF"/>
    <w:rsid w:val="00D6247F"/>
    <w:rsid w:val="00D802F2"/>
    <w:rsid w:val="00DB5782"/>
    <w:rsid w:val="00DC2138"/>
    <w:rsid w:val="00DC2D29"/>
    <w:rsid w:val="00DF2816"/>
    <w:rsid w:val="00E07FDB"/>
    <w:rsid w:val="00E1162B"/>
    <w:rsid w:val="00E3418F"/>
    <w:rsid w:val="00E36A4C"/>
    <w:rsid w:val="00E421D0"/>
    <w:rsid w:val="00E6697D"/>
    <w:rsid w:val="00E724A5"/>
    <w:rsid w:val="00E859F9"/>
    <w:rsid w:val="00EA11E3"/>
    <w:rsid w:val="00EA2573"/>
    <w:rsid w:val="00ED4DD7"/>
    <w:rsid w:val="00EE6323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0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55</TotalTime>
  <Pages>2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S2 Record of learning and achievement using syllabus content</dc:title>
  <dc:subject/>
  <cp:keywords/>
  <dc:description/>
  <cp:lastModifiedBy>Diane Twomey</cp:lastModifiedBy>
  <cp:revision>3</cp:revision>
  <dcterms:created xsi:type="dcterms:W3CDTF">2024-02-15T01:58:00Z</dcterms:created>
  <dcterms:modified xsi:type="dcterms:W3CDTF">2024-02-15T22:40:00Z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