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DBDE914" w14:textId="43C50569" w:rsidR="00B41773" w:rsidRPr="00D76A5D" w:rsidRDefault="001B42A7" w:rsidP="00B41773">
      <w:pPr>
        <w:pStyle w:val="DescriptororName"/>
      </w:pPr>
      <w:r w:rsidRPr="0051472C">
        <w:rPr>
          <w:noProof/>
        </w:rPr>
        <w:drawing>
          <wp:anchor distT="0" distB="0" distL="114300" distR="114300" simplePos="0" relativeHeight="251659264" behindDoc="1" locked="0" layoutInCell="1" allowOverlap="1" wp14:anchorId="20D82FB2" wp14:editId="4DFDB1A8">
            <wp:simplePos x="0" y="0"/>
            <wp:positionH relativeFrom="margin">
              <wp:align>right</wp:align>
            </wp:positionH>
            <wp:positionV relativeFrom="margin">
              <wp:posOffset>-65561</wp:posOffset>
            </wp:positionV>
            <wp:extent cx="666000" cy="720000"/>
            <wp:effectExtent l="0" t="0" r="1270" b="4445"/>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14:sizeRelH relativeFrom="margin">
              <wp14:pctWidth>0</wp14:pctWidth>
            </wp14:sizeRelH>
            <wp14:sizeRelV relativeFrom="margin">
              <wp14:pctHeight>0</wp14:pctHeight>
            </wp14:sizeRelV>
          </wp:anchor>
        </w:drawing>
      </w:r>
      <w:r w:rsidR="00B41773">
        <w:t>Office of the 24-Hour Economy Commissioner</w:t>
      </w:r>
    </w:p>
    <w:p w14:paraId="59A39CF9" w14:textId="7680164C" w:rsidR="00B41773" w:rsidRPr="00286717" w:rsidRDefault="00061D39" w:rsidP="00B41773">
      <w:pPr>
        <w:pStyle w:val="DocumentType"/>
      </w:pPr>
      <w:sdt>
        <w:sdtPr>
          <w:id w:val="-1982835863"/>
          <w:placeholder>
            <w:docPart w:val="B852807209DC154F9407250C07E73185"/>
          </w:placeholder>
        </w:sdtPr>
        <w:sdtEndPr/>
        <w:sdtContent>
          <w:r w:rsidR="00AB60A6">
            <w:t xml:space="preserve">Optional </w:t>
          </w:r>
          <w:r w:rsidR="005A0469">
            <w:t>Template –</w:t>
          </w:r>
          <w:r w:rsidR="00D66071">
            <w:t>Monitoring and Evaluation</w:t>
          </w:r>
          <w:r w:rsidR="00984607">
            <w:t xml:space="preserve"> Plan</w:t>
          </w:r>
        </w:sdtContent>
      </w:sdt>
      <w:r w:rsidR="00B41773">
        <w:t xml:space="preserve"> </w:t>
      </w:r>
    </w:p>
    <w:p w14:paraId="5F00BBE9" w14:textId="29671F6B" w:rsidR="00116733" w:rsidRDefault="00061D39" w:rsidP="00116733">
      <w:pPr>
        <w:pStyle w:val="BodyText"/>
        <w:rPr>
          <w:sz w:val="20"/>
          <w:szCs w:val="20"/>
        </w:rPr>
      </w:pPr>
      <w:sdt>
        <w:sdtPr>
          <w:rPr>
            <w:sz w:val="20"/>
            <w:szCs w:val="20"/>
          </w:rPr>
          <w:alias w:val="Title"/>
          <w:tag w:val=""/>
          <w:id w:val="2064905903"/>
          <w:lock w:val="sdtLocked"/>
          <w:placeholder>
            <w:docPart w:val="E61C00B050B2F145A577448BDBA9967B"/>
          </w:placeholder>
          <w:dataBinding w:prefixMappings="xmlns:ns0='http://purl.org/dc/elements/1.1/' xmlns:ns1='http://schemas.openxmlformats.org/package/2006/metadata/core-properties' " w:xpath="/ns1:coreProperties[1]/ns0:title[1]" w:storeItemID="{6C3C8BC8-F283-45AE-878A-BAB7291924A1}"/>
          <w:text/>
        </w:sdtPr>
        <w:sdtEndPr/>
        <w:sdtContent>
          <w:r w:rsidR="00984607">
            <w:rPr>
              <w:sz w:val="20"/>
              <w:szCs w:val="20"/>
            </w:rPr>
            <w:t>Special Entertainment Precincts</w:t>
          </w:r>
        </w:sdtContent>
      </w:sdt>
    </w:p>
    <w:p w14:paraId="1AAFEAFB" w14:textId="77777777" w:rsidR="00A1587A" w:rsidRPr="00B41773" w:rsidRDefault="00A1587A" w:rsidP="00B41773"/>
    <w:p w14:paraId="5966A361" w14:textId="77777777" w:rsidR="00B41773" w:rsidRDefault="00B41773" w:rsidP="00B41773"/>
    <w:p w14:paraId="4D6808F6" w14:textId="362FA0B2" w:rsidR="00C60C33" w:rsidRPr="0075394D" w:rsidRDefault="00063917" w:rsidP="00C60C33">
      <w:pPr>
        <w:pStyle w:val="Heading2"/>
      </w:pPr>
      <w:r w:rsidRPr="0075394D">
        <w:t>About this template</w:t>
      </w:r>
    </w:p>
    <w:p w14:paraId="1ECFB6B4" w14:textId="77777777" w:rsidR="007C034B" w:rsidRPr="0075394D" w:rsidRDefault="007C034B" w:rsidP="007C034B">
      <w:pPr>
        <w:rPr>
          <w:rFonts w:asciiTheme="minorHAnsi" w:eastAsia="Public Sans" w:hAnsiTheme="minorHAnsi" w:cs="Public Sans"/>
          <w:i/>
          <w:iCs/>
          <w:color w:val="7030A0"/>
          <w:szCs w:val="22"/>
        </w:rPr>
      </w:pPr>
      <w:bookmarkStart w:id="0" w:name="_Toc116909653"/>
      <w:bookmarkStart w:id="1" w:name="_Toc117073090"/>
      <w:bookmarkStart w:id="2" w:name="_Toc118360994"/>
      <w:r w:rsidRPr="0075394D">
        <w:rPr>
          <w:rFonts w:asciiTheme="minorHAnsi" w:hAnsiTheme="minorHAnsi"/>
          <w:i/>
          <w:iCs/>
          <w:color w:val="7030A0"/>
          <w:szCs w:val="22"/>
        </w:rPr>
        <w:t xml:space="preserve">The template below indicates suggested monitoring and evaluation plans for Council officers to complete during the trial of a Special Entertainment Precinct (SEP), and once a SEP is permanently operational. </w:t>
      </w:r>
    </w:p>
    <w:p w14:paraId="2593FC23" w14:textId="77777777" w:rsidR="007C034B" w:rsidRPr="0075394D" w:rsidRDefault="007C034B" w:rsidP="007C034B">
      <w:pPr>
        <w:pStyle w:val="BodyText"/>
        <w:rPr>
          <w:i/>
          <w:iCs/>
          <w:color w:val="7030A0"/>
        </w:rPr>
      </w:pPr>
      <w:r w:rsidRPr="0075394D">
        <w:rPr>
          <w:i/>
          <w:iCs/>
          <w:color w:val="7030A0"/>
        </w:rPr>
        <w:t>Evaluating SEPs is required by Step 1.12 of the SEP Guidelines. Council officers must evaluate the SEP trial (recommended after 12 months), and report the trial outcomes to the community, stakeholders and Council. This step will assist Council to determine whether the SEP trial has been successful and should continue as a permanent SEP.</w:t>
      </w:r>
    </w:p>
    <w:p w14:paraId="25C65589" w14:textId="60DD8F07" w:rsidR="005A0469" w:rsidRPr="0075394D" w:rsidRDefault="000F2752" w:rsidP="005A0469">
      <w:pPr>
        <w:rPr>
          <w:rFonts w:asciiTheme="minorHAnsi" w:eastAsia="Public Sans" w:hAnsiTheme="minorHAnsi" w:cs="Public Sans"/>
          <w:i/>
          <w:iCs/>
          <w:color w:val="7030A0"/>
          <w:szCs w:val="22"/>
        </w:rPr>
      </w:pPr>
      <w:r w:rsidRPr="0075394D">
        <w:rPr>
          <w:rFonts w:asciiTheme="minorHAnsi" w:eastAsia="Public Sans" w:hAnsiTheme="minorHAnsi" w:cs="Public Sans"/>
          <w:i/>
          <w:iCs/>
          <w:color w:val="7030A0"/>
          <w:szCs w:val="22"/>
        </w:rPr>
        <w:t>This template can be adapted to suit your council’s specific needs.</w:t>
      </w:r>
      <w:r w:rsidR="001C3C88" w:rsidRPr="0075394D">
        <w:rPr>
          <w:rFonts w:asciiTheme="minorHAnsi" w:eastAsia="Public Sans" w:hAnsiTheme="minorHAnsi" w:cs="Public Sans"/>
          <w:i/>
          <w:iCs/>
          <w:color w:val="7030A0"/>
          <w:szCs w:val="22"/>
        </w:rPr>
        <w:t xml:space="preserve"> </w:t>
      </w:r>
      <w:r w:rsidR="001C3C88" w:rsidRPr="0075394D">
        <w:rPr>
          <w:rStyle w:val="normaltextrun"/>
          <w:rFonts w:asciiTheme="minorHAnsi" w:eastAsiaTheme="majorEastAsia" w:hAnsiTheme="minorHAnsi" w:cs="Segoe UI"/>
          <w:i/>
          <w:iCs/>
          <w:color w:val="7030A0"/>
          <w:szCs w:val="22"/>
          <w:lang w:val="en-US"/>
        </w:rPr>
        <w:t>Items noted [like this] should be inserted or edited as appropriate.</w:t>
      </w:r>
    </w:p>
    <w:p w14:paraId="161E3BBC" w14:textId="77777777" w:rsidR="002800C9" w:rsidRPr="0075394D" w:rsidRDefault="002800C9" w:rsidP="002800C9">
      <w:pPr>
        <w:pStyle w:val="Heading2"/>
        <w:rPr>
          <w:color w:val="auto"/>
        </w:rPr>
      </w:pPr>
      <w:r w:rsidRPr="0075394D">
        <w:rPr>
          <w:color w:val="auto"/>
        </w:rPr>
        <w:t>Disclaimer</w:t>
      </w:r>
    </w:p>
    <w:p w14:paraId="20E65CC9" w14:textId="77777777" w:rsidR="002800C9" w:rsidRPr="0075394D" w:rsidRDefault="002800C9" w:rsidP="002800C9">
      <w:pPr>
        <w:pStyle w:val="BodyText"/>
        <w:rPr>
          <w:i/>
          <w:iCs/>
          <w:color w:val="auto"/>
          <w:lang w:val="en-US"/>
        </w:rPr>
      </w:pPr>
      <w:r w:rsidRPr="0075394D">
        <w:rPr>
          <w:i/>
          <w:iCs/>
          <w:color w:val="auto"/>
          <w:lang w:val="en-US"/>
        </w:rPr>
        <w:t xml:space="preserve">This publication is provided as general information only. The State of NSW, including the Office of the 24-Hour Economy Commissioner, does not guarantee the accuracy, reliability, currency, or completeness of the information contained in it. Interested parties should make their own independent inquiries and obtain their own independent professional, technical or expert advice. The information in this document should not be relied on as the basis for doing or failing to do something. </w:t>
      </w:r>
    </w:p>
    <w:p w14:paraId="67071785" w14:textId="0EDEAB2B" w:rsidR="002800C9" w:rsidRPr="0075394D" w:rsidRDefault="002800C9" w:rsidP="002800C9">
      <w:pPr>
        <w:pStyle w:val="BodyText"/>
        <w:rPr>
          <w:color w:val="auto"/>
        </w:rPr>
      </w:pPr>
      <w:r w:rsidRPr="0075394D">
        <w:rPr>
          <w:i/>
          <w:iCs/>
          <w:color w:val="auto"/>
          <w:lang w:val="en-US"/>
        </w:rPr>
        <w:t xml:space="preserve">The State of NSW, including the Office of the 24-Hour Economy Commissioner, does not accept any responsibility or liability for any damage, loss, or expense (including without limitation for negligence) incurred </w:t>
      </w:r>
      <w:proofErr w:type="gramStart"/>
      <w:r w:rsidRPr="0075394D">
        <w:rPr>
          <w:i/>
          <w:iCs/>
          <w:color w:val="auto"/>
          <w:lang w:val="en-US"/>
        </w:rPr>
        <w:t>as a result of</w:t>
      </w:r>
      <w:proofErr w:type="gramEnd"/>
      <w:r w:rsidRPr="0075394D">
        <w:rPr>
          <w:i/>
          <w:iCs/>
          <w:color w:val="auto"/>
          <w:lang w:val="en-US"/>
        </w:rPr>
        <w:t xml:space="preserve"> relying on information in this publication, to the extent permitted by law</w:t>
      </w:r>
      <w:r w:rsidRPr="0075394D">
        <w:rPr>
          <w:color w:val="auto"/>
          <w:lang w:val="en-US"/>
        </w:rPr>
        <w:t xml:space="preserve">. </w:t>
      </w:r>
    </w:p>
    <w:p w14:paraId="311A7372" w14:textId="0AA2DA09" w:rsidR="00063917" w:rsidRPr="0075394D" w:rsidRDefault="00061D39" w:rsidP="005A0469">
      <w:pPr>
        <w:rPr>
          <w:rFonts w:asciiTheme="minorHAnsi" w:hAnsiTheme="minorHAnsi"/>
          <w:i/>
          <w:iCs/>
          <w:color w:val="7030A0"/>
          <w:szCs w:val="22"/>
        </w:rPr>
      </w:pPr>
      <w:r>
        <w:rPr>
          <w:rFonts w:asciiTheme="minorHAnsi" w:hAnsiTheme="minorHAnsi"/>
          <w:lang w:val="en-US"/>
        </w:rPr>
        <w:pict w14:anchorId="23FBB6DC">
          <v:rect id="_x0000_i1025" style="width:468pt;height:1pt" o:hralign="center" o:hrstd="t" o:hr="t" fillcolor="#a0a0a0" stroked="f"/>
        </w:pict>
      </w:r>
    </w:p>
    <w:bookmarkEnd w:id="0"/>
    <w:bookmarkEnd w:id="1"/>
    <w:bookmarkEnd w:id="2"/>
    <w:p w14:paraId="05C1B3C1" w14:textId="191B61D6" w:rsidR="005A0469" w:rsidRPr="0075394D" w:rsidRDefault="00D66071" w:rsidP="005A0469">
      <w:pPr>
        <w:pStyle w:val="Heading3"/>
        <w:rPr>
          <w:rFonts w:asciiTheme="minorHAnsi" w:hAnsiTheme="minorHAnsi"/>
          <w:sz w:val="36"/>
          <w:szCs w:val="36"/>
        </w:rPr>
      </w:pPr>
      <w:r w:rsidRPr="0075394D">
        <w:rPr>
          <w:rFonts w:asciiTheme="minorHAnsi" w:hAnsiTheme="minorHAnsi"/>
          <w:sz w:val="36"/>
          <w:szCs w:val="36"/>
        </w:rPr>
        <w:t>Purpose of monitoring and evaluating SEPs</w:t>
      </w:r>
    </w:p>
    <w:p w14:paraId="49724EFD" w14:textId="204AB930" w:rsidR="00E55CEE" w:rsidRPr="0075394D" w:rsidRDefault="0058068B" w:rsidP="0A2D9098">
      <w:pPr>
        <w:pStyle w:val="BodyText"/>
        <w:rPr>
          <w:rFonts w:eastAsia="Public Sans" w:cs="Public Sans"/>
          <w:b/>
          <w:bCs/>
          <w:i/>
          <w:iCs/>
          <w:sz w:val="20"/>
          <w:szCs w:val="20"/>
        </w:rPr>
      </w:pPr>
      <w:r w:rsidRPr="0075394D">
        <w:t>O</w:t>
      </w:r>
      <w:r w:rsidR="00E55CEE" w:rsidRPr="0075394D">
        <w:t xml:space="preserve">ngoing monitoring of a SEP and </w:t>
      </w:r>
      <w:r w:rsidR="002F3A58" w:rsidRPr="0075394D">
        <w:t xml:space="preserve">planning </w:t>
      </w:r>
      <w:r w:rsidR="0050645A" w:rsidRPr="0075394D">
        <w:t xml:space="preserve">for </w:t>
      </w:r>
      <w:r w:rsidR="002F3A58" w:rsidRPr="0075394D">
        <w:t>evaluation</w:t>
      </w:r>
      <w:r w:rsidR="007C034B" w:rsidRPr="0075394D">
        <w:t xml:space="preserve"> of a SEP</w:t>
      </w:r>
      <w:r w:rsidR="00E55CEE" w:rsidRPr="0075394D">
        <w:t xml:space="preserve"> will </w:t>
      </w:r>
      <w:r w:rsidR="6AD6809C" w:rsidRPr="0075394D">
        <w:t xml:space="preserve">help </w:t>
      </w:r>
      <w:r w:rsidR="00E55CEE" w:rsidRPr="0075394D">
        <w:t xml:space="preserve">set a SEP up for success, provide transparency </w:t>
      </w:r>
      <w:r w:rsidRPr="0075394D">
        <w:t xml:space="preserve">to the community, </w:t>
      </w:r>
      <w:r w:rsidR="00E55CEE" w:rsidRPr="0075394D">
        <w:t>and enable continual improvements to ensure the SEP meets its objectives.</w:t>
      </w:r>
      <w:r w:rsidRPr="0075394D">
        <w:t xml:space="preserve"> </w:t>
      </w:r>
      <w:r w:rsidR="00E55CEE" w:rsidRPr="0075394D">
        <w:t xml:space="preserve">To successfully implement a </w:t>
      </w:r>
      <w:proofErr w:type="gramStart"/>
      <w:r w:rsidR="00E55CEE" w:rsidRPr="0075394D">
        <w:t>SEP</w:t>
      </w:r>
      <w:proofErr w:type="gramEnd"/>
      <w:r w:rsidR="00E55CEE" w:rsidRPr="0075394D">
        <w:t xml:space="preserve"> it is recommended to:</w:t>
      </w:r>
    </w:p>
    <w:p w14:paraId="65ED4778" w14:textId="0091A5FA" w:rsidR="005A0469" w:rsidRPr="0075394D" w:rsidRDefault="005A0469" w:rsidP="001F3420">
      <w:pPr>
        <w:pStyle w:val="ListBullet"/>
        <w:rPr>
          <w:color w:val="FF0000"/>
        </w:rPr>
      </w:pPr>
      <w:r w:rsidRPr="0075394D">
        <w:rPr>
          <w:b/>
          <w:bCs/>
        </w:rPr>
        <w:t xml:space="preserve">Establish </w:t>
      </w:r>
      <w:r w:rsidR="0050645A" w:rsidRPr="0075394D">
        <w:rPr>
          <w:b/>
          <w:bCs/>
        </w:rPr>
        <w:t xml:space="preserve">a monitoring and </w:t>
      </w:r>
      <w:r w:rsidRPr="0075394D">
        <w:rPr>
          <w:b/>
          <w:bCs/>
        </w:rPr>
        <w:t xml:space="preserve">evaluation framework for </w:t>
      </w:r>
      <w:r w:rsidR="007C034B" w:rsidRPr="0075394D">
        <w:rPr>
          <w:b/>
          <w:bCs/>
        </w:rPr>
        <w:t xml:space="preserve">the </w:t>
      </w:r>
      <w:r w:rsidRPr="0075394D">
        <w:rPr>
          <w:b/>
          <w:bCs/>
        </w:rPr>
        <w:t xml:space="preserve">SEP trial: </w:t>
      </w:r>
      <w:r w:rsidRPr="0075394D">
        <w:t xml:space="preserve">Council officers </w:t>
      </w:r>
      <w:r w:rsidR="007C034B" w:rsidRPr="0075394D">
        <w:t>(</w:t>
      </w:r>
      <w:r w:rsidRPr="0075394D">
        <w:t>and the precinct working group</w:t>
      </w:r>
      <w:r w:rsidR="007C034B" w:rsidRPr="0075394D">
        <w:t xml:space="preserve">) </w:t>
      </w:r>
      <w:r w:rsidRPr="0075394D">
        <w:t>should establish evaluation parameters for the operational SEP trial. This includes identifying what information or data needs to be captured, how often,</w:t>
      </w:r>
      <w:r w:rsidR="002F3A58" w:rsidRPr="0075394D">
        <w:t xml:space="preserve"> by whom, the measures for </w:t>
      </w:r>
      <w:r w:rsidR="0050645A" w:rsidRPr="0075394D">
        <w:t>success and</w:t>
      </w:r>
      <w:r w:rsidR="002F3A58" w:rsidRPr="0075394D">
        <w:t xml:space="preserve"> when insights are to be reported</w:t>
      </w:r>
      <w:r w:rsidR="007C034B" w:rsidRPr="0075394D">
        <w:t>.</w:t>
      </w:r>
    </w:p>
    <w:p w14:paraId="213F51BA" w14:textId="3FFD1CFA" w:rsidR="005A0469" w:rsidRPr="0075394D" w:rsidRDefault="005A0469" w:rsidP="001F3420">
      <w:pPr>
        <w:pStyle w:val="ListBullet"/>
      </w:pPr>
      <w:r w:rsidRPr="0075394D">
        <w:rPr>
          <w:b/>
          <w:bCs/>
        </w:rPr>
        <w:t>Establish a permanent SEP monitoring and evaluation framework:</w:t>
      </w:r>
      <w:r w:rsidRPr="0075394D">
        <w:t xml:space="preserve"> Building on the </w:t>
      </w:r>
      <w:r w:rsidR="0050645A" w:rsidRPr="0075394D">
        <w:t xml:space="preserve">monitoring and </w:t>
      </w:r>
      <w:r w:rsidRPr="0075394D">
        <w:t>evaluation framework for the trial</w:t>
      </w:r>
      <w:r w:rsidR="00B82A54" w:rsidRPr="0075394D">
        <w:t xml:space="preserve">, </w:t>
      </w:r>
      <w:r w:rsidRPr="0075394D">
        <w:t xml:space="preserve">council officers establish a permanent monitoring and </w:t>
      </w:r>
      <w:r w:rsidRPr="0075394D">
        <w:lastRenderedPageBreak/>
        <w:t xml:space="preserve">evaluation framework to align with strategic intent and community feedback and guide continual improvements. This will help council ensure that the precinct meets intended goals and is aligned with strategic intent and community feedback.  </w:t>
      </w:r>
    </w:p>
    <w:p w14:paraId="61B85EBA" w14:textId="4D1E9961" w:rsidR="005A0469" w:rsidRPr="0075394D" w:rsidRDefault="00E55CEE" w:rsidP="005A0469">
      <w:pPr>
        <w:pStyle w:val="Heading3"/>
        <w:rPr>
          <w:rFonts w:asciiTheme="minorHAnsi" w:hAnsiTheme="minorHAnsi"/>
          <w:sz w:val="36"/>
          <w:szCs w:val="36"/>
        </w:rPr>
      </w:pPr>
      <w:r w:rsidRPr="0075394D">
        <w:rPr>
          <w:rFonts w:asciiTheme="minorHAnsi" w:hAnsiTheme="minorHAnsi"/>
          <w:sz w:val="36"/>
          <w:szCs w:val="36"/>
        </w:rPr>
        <w:t>Data collection in a</w:t>
      </w:r>
      <w:r w:rsidR="005A0469" w:rsidRPr="0075394D">
        <w:rPr>
          <w:rFonts w:asciiTheme="minorHAnsi" w:hAnsiTheme="minorHAnsi"/>
          <w:sz w:val="36"/>
          <w:szCs w:val="36"/>
        </w:rPr>
        <w:t xml:space="preserve"> SEP</w:t>
      </w:r>
    </w:p>
    <w:p w14:paraId="37205BBA" w14:textId="77777777" w:rsidR="0074402C" w:rsidRPr="0075394D" w:rsidRDefault="000B7DF3" w:rsidP="005A0469">
      <w:pPr>
        <w:pStyle w:val="BodyText"/>
      </w:pPr>
      <w:r w:rsidRPr="0075394D">
        <w:t>Data sources</w:t>
      </w:r>
      <w:r w:rsidR="0058068B" w:rsidRPr="0075394D">
        <w:t xml:space="preserve"> for evaluating SEPs</w:t>
      </w:r>
      <w:r w:rsidRPr="0075394D">
        <w:t xml:space="preserve"> could include </w:t>
      </w:r>
      <w:r w:rsidR="0074402C" w:rsidRPr="0075394D">
        <w:t>both quantitative and qualitative sources, including</w:t>
      </w:r>
      <w:r w:rsidRPr="0075394D">
        <w:t xml:space="preserve"> program documentation, </w:t>
      </w:r>
      <w:r w:rsidR="0074402C" w:rsidRPr="0075394D">
        <w:t xml:space="preserve">focus groups, in person </w:t>
      </w:r>
      <w:r w:rsidRPr="0075394D">
        <w:t>interviews,</w:t>
      </w:r>
      <w:r w:rsidR="0074402C" w:rsidRPr="0075394D">
        <w:t xml:space="preserve"> community</w:t>
      </w:r>
      <w:r w:rsidRPr="0075394D">
        <w:t xml:space="preserve"> surveys, and/or publicly available data and information.</w:t>
      </w:r>
      <w:r w:rsidR="00B82A54" w:rsidRPr="0075394D">
        <w:t xml:space="preserve"> </w:t>
      </w:r>
    </w:p>
    <w:p w14:paraId="48F06936" w14:textId="1D75468D" w:rsidR="005A0469" w:rsidRPr="0075394D" w:rsidRDefault="005A0469" w:rsidP="005A0469">
      <w:pPr>
        <w:pStyle w:val="BodyText"/>
      </w:pPr>
      <w:r w:rsidRPr="0075394D">
        <w:t>Monitoring and evaluation activities could be designed to address:</w:t>
      </w:r>
    </w:p>
    <w:p w14:paraId="4A010AB1" w14:textId="77777777" w:rsidR="005A0469" w:rsidRPr="0075394D" w:rsidRDefault="005A0469" w:rsidP="003D477E">
      <w:pPr>
        <w:pStyle w:val="ListBullet3"/>
      </w:pPr>
      <w:r w:rsidRPr="0075394D">
        <w:t>A clear line of sight from strategic intent to operations</w:t>
      </w:r>
    </w:p>
    <w:p w14:paraId="25040C7B" w14:textId="602F33D5" w:rsidR="005A0469" w:rsidRPr="0075394D" w:rsidRDefault="005A0469" w:rsidP="003D477E">
      <w:pPr>
        <w:pStyle w:val="ListBullet3"/>
      </w:pPr>
      <w:r w:rsidRPr="0075394D">
        <w:t xml:space="preserve">Data collection about night-time economy activities, cultural activity, </w:t>
      </w:r>
      <w:r w:rsidR="161A3D74" w:rsidRPr="0075394D">
        <w:t xml:space="preserve">visitor economy </w:t>
      </w:r>
      <w:r w:rsidRPr="0075394D">
        <w:t xml:space="preserve">unlicensed premises, planning policy, </w:t>
      </w:r>
      <w:r w:rsidR="0050645A" w:rsidRPr="0075394D">
        <w:t xml:space="preserve">business composition, </w:t>
      </w:r>
      <w:r w:rsidRPr="0075394D">
        <w:t>grants and</w:t>
      </w:r>
      <w:r w:rsidR="67DD8E86" w:rsidRPr="0075394D">
        <w:t>/or</w:t>
      </w:r>
      <w:r w:rsidRPr="0075394D">
        <w:t xml:space="preserve"> public spaces</w:t>
      </w:r>
    </w:p>
    <w:p w14:paraId="275F9EE8" w14:textId="11D239E7" w:rsidR="005A0469" w:rsidRPr="0075394D" w:rsidRDefault="005A0469" w:rsidP="003D477E">
      <w:pPr>
        <w:pStyle w:val="ListBullet3"/>
      </w:pPr>
      <w:r w:rsidRPr="0075394D">
        <w:t xml:space="preserve">If the precinct is meeting intended goals  </w:t>
      </w:r>
    </w:p>
    <w:p w14:paraId="7F98823D" w14:textId="503C17BD" w:rsidR="005A0469" w:rsidRPr="0075394D" w:rsidRDefault="002F3A58" w:rsidP="003D477E">
      <w:pPr>
        <w:pStyle w:val="ListBullet3"/>
      </w:pPr>
      <w:r w:rsidRPr="0075394D">
        <w:t xml:space="preserve">Limitations of data collection and analysis </w:t>
      </w:r>
    </w:p>
    <w:p w14:paraId="3BE687BF" w14:textId="490404E5" w:rsidR="005A0469" w:rsidRPr="0075394D" w:rsidRDefault="005A0469" w:rsidP="003D477E">
      <w:pPr>
        <w:pStyle w:val="ListBullet3"/>
      </w:pPr>
      <w:r w:rsidRPr="0075394D">
        <w:t>Whether the sound management plan is operating as intended, or there is an opportunity to further refine it</w:t>
      </w:r>
    </w:p>
    <w:p w14:paraId="4DBF56C6" w14:textId="4070D261" w:rsidR="0074402C" w:rsidRPr="0075394D" w:rsidRDefault="005A0469" w:rsidP="003D477E">
      <w:pPr>
        <w:pStyle w:val="ListBullet3"/>
      </w:pPr>
      <w:r w:rsidRPr="0075394D">
        <w:t xml:space="preserve">How the success of the precinct should be measured, or when it is not meeting expectations </w:t>
      </w:r>
    </w:p>
    <w:p w14:paraId="3D0676D1" w14:textId="5F586315" w:rsidR="00E55CEE" w:rsidRPr="0075394D" w:rsidRDefault="005A0469" w:rsidP="003D477E">
      <w:pPr>
        <w:pStyle w:val="ListBullet3"/>
      </w:pPr>
      <w:r w:rsidRPr="0075394D">
        <w:t xml:space="preserve">Relevant data from the operation being collected that could support a future </w:t>
      </w:r>
      <w:r w:rsidR="007C034B" w:rsidRPr="0075394D">
        <w:t>nighttime</w:t>
      </w:r>
      <w:r w:rsidRPr="0075394D">
        <w:t xml:space="preserve"> accreditation requirement</w:t>
      </w:r>
      <w:r w:rsidR="007C034B" w:rsidRPr="0075394D">
        <w:t xml:space="preserve"> (</w:t>
      </w:r>
      <w:proofErr w:type="spellStart"/>
      <w:r w:rsidR="007C034B" w:rsidRPr="0075394D">
        <w:t>e.g</w:t>
      </w:r>
      <w:proofErr w:type="spellEnd"/>
      <w:r w:rsidR="007C034B" w:rsidRPr="0075394D">
        <w:t xml:space="preserve"> Purple Flag)</w:t>
      </w:r>
    </w:p>
    <w:p w14:paraId="333C717F" w14:textId="5CDDFE53" w:rsidR="005A0469" w:rsidRPr="0075394D" w:rsidRDefault="005A0469" w:rsidP="0074402C">
      <w:pPr>
        <w:pStyle w:val="ListBullet3"/>
        <w:numPr>
          <w:ilvl w:val="0"/>
          <w:numId w:val="0"/>
        </w:numPr>
      </w:pPr>
      <w:r w:rsidRPr="0075394D">
        <w:t>Councils with night-time economy strategies may have access to the NSW Data After Dark platform. This is a digital platform with 24-hour mobility data on formalised precincts in NSW which could be used to assess and evaluate visitation to SEPs over time.</w:t>
      </w:r>
      <w:r w:rsidR="00037BCA" w:rsidRPr="0075394D">
        <w:t xml:space="preserve"> Refer to the NSW SEP Handbook for more guidance.</w:t>
      </w:r>
    </w:p>
    <w:p w14:paraId="3B272DF7" w14:textId="150A8805" w:rsidR="005A0469" w:rsidRPr="0075394D" w:rsidRDefault="005A0469" w:rsidP="005A0469">
      <w:pPr>
        <w:pStyle w:val="Caption"/>
        <w:keepNext/>
      </w:pPr>
      <w:r w:rsidRPr="0075394D">
        <w:t xml:space="preserve">Table </w:t>
      </w:r>
      <w:r w:rsidRPr="0075394D">
        <w:fldChar w:fldCharType="begin"/>
      </w:r>
      <w:r w:rsidRPr="0075394D">
        <w:instrText xml:space="preserve"> SEQ Table \* ARABIC </w:instrText>
      </w:r>
      <w:r w:rsidRPr="0075394D">
        <w:fldChar w:fldCharType="separate"/>
      </w:r>
      <w:r w:rsidRPr="0075394D">
        <w:rPr>
          <w:noProof/>
        </w:rPr>
        <w:t>1</w:t>
      </w:r>
      <w:r w:rsidRPr="0075394D">
        <w:fldChar w:fldCharType="end"/>
      </w:r>
      <w:r w:rsidRPr="0075394D">
        <w:t xml:space="preserve"> Example of </w:t>
      </w:r>
      <w:r w:rsidR="00D66071" w:rsidRPr="0075394D">
        <w:t xml:space="preserve">data </w:t>
      </w:r>
      <w:r w:rsidR="000B7DF3" w:rsidRPr="0075394D">
        <w:t>sources to inform the evaluation</w:t>
      </w:r>
    </w:p>
    <w:tbl>
      <w:tblPr>
        <w:tblStyle w:val="GridTable1Light"/>
        <w:tblW w:w="10065" w:type="dxa"/>
        <w:tblLayout w:type="fixed"/>
        <w:tblLook w:val="04A0" w:firstRow="1" w:lastRow="0" w:firstColumn="1" w:lastColumn="0" w:noHBand="0" w:noVBand="1"/>
      </w:tblPr>
      <w:tblGrid>
        <w:gridCol w:w="1696"/>
        <w:gridCol w:w="8369"/>
      </w:tblGrid>
      <w:tr w:rsidR="00553FF3" w:rsidRPr="0075394D" w14:paraId="26E3861C" w14:textId="77777777" w:rsidTr="001F3420">
        <w:trPr>
          <w:cnfStyle w:val="100000000000" w:firstRow="1" w:lastRow="0" w:firstColumn="0" w:lastColumn="0" w:oddVBand="0" w:evenVBand="0" w:oddHBand="0" w:evenHBand="0" w:firstRowFirstColumn="0" w:firstRowLastColumn="0" w:lastRowFirstColumn="0" w:lastRowLastColumn="0"/>
          <w:trHeight w:val="15"/>
        </w:trPr>
        <w:tc>
          <w:tcPr>
            <w:cnfStyle w:val="001000000000" w:firstRow="0" w:lastRow="0" w:firstColumn="1" w:lastColumn="0" w:oddVBand="0" w:evenVBand="0" w:oddHBand="0" w:evenHBand="0" w:firstRowFirstColumn="0" w:firstRowLastColumn="0" w:lastRowFirstColumn="0" w:lastRowLastColumn="0"/>
            <w:tcW w:w="1696" w:type="dxa"/>
            <w:shd w:val="clear" w:color="auto" w:fill="9999FF"/>
          </w:tcPr>
          <w:p w14:paraId="61CF911C" w14:textId="2C6795D0" w:rsidR="00553FF3" w:rsidRPr="0075394D" w:rsidRDefault="00553FF3">
            <w:pPr>
              <w:tabs>
                <w:tab w:val="left" w:pos="357"/>
                <w:tab w:val="left" w:pos="714"/>
                <w:tab w:val="left" w:pos="2552"/>
              </w:tabs>
              <w:spacing w:after="120"/>
              <w:rPr>
                <w:rFonts w:asciiTheme="minorHAnsi" w:eastAsia="Public Sans Light" w:hAnsiTheme="minorHAnsi" w:cs="Public Sans Light"/>
                <w:b w:val="0"/>
                <w:bCs w:val="0"/>
                <w:color w:val="22272B"/>
                <w:sz w:val="20"/>
                <w:szCs w:val="20"/>
              </w:rPr>
            </w:pPr>
            <w:r w:rsidRPr="0075394D">
              <w:rPr>
                <w:rFonts w:asciiTheme="minorHAnsi" w:eastAsia="Public Sans Light" w:hAnsiTheme="minorHAnsi" w:cs="Public Sans Light"/>
                <w:color w:val="22272B"/>
                <w:sz w:val="20"/>
                <w:szCs w:val="20"/>
              </w:rPr>
              <w:t>Data source</w:t>
            </w:r>
          </w:p>
        </w:tc>
        <w:tc>
          <w:tcPr>
            <w:tcW w:w="8369" w:type="dxa"/>
            <w:shd w:val="clear" w:color="auto" w:fill="9999FF"/>
          </w:tcPr>
          <w:p w14:paraId="72FEC36C" w14:textId="1CEB1279" w:rsidR="00553FF3" w:rsidRPr="0075394D" w:rsidRDefault="00553FF3">
            <w:pPr>
              <w:tabs>
                <w:tab w:val="left" w:pos="357"/>
                <w:tab w:val="left" w:pos="714"/>
                <w:tab w:val="left" w:pos="2552"/>
              </w:tabs>
              <w:spacing w:after="120"/>
              <w:cnfStyle w:val="100000000000" w:firstRow="1" w:lastRow="0" w:firstColumn="0" w:lastColumn="0" w:oddVBand="0" w:evenVBand="0" w:oddHBand="0" w:evenHBand="0" w:firstRowFirstColumn="0" w:firstRowLastColumn="0" w:lastRowFirstColumn="0" w:lastRowLastColumn="0"/>
              <w:rPr>
                <w:rFonts w:asciiTheme="minorHAnsi" w:eastAsia="Public Sans Light" w:hAnsiTheme="minorHAnsi" w:cs="Public Sans Light"/>
                <w:b w:val="0"/>
                <w:bCs w:val="0"/>
                <w:color w:val="22272B"/>
                <w:sz w:val="20"/>
                <w:szCs w:val="20"/>
              </w:rPr>
            </w:pPr>
            <w:r w:rsidRPr="0075394D">
              <w:rPr>
                <w:rFonts w:asciiTheme="minorHAnsi" w:eastAsia="Public Sans Light" w:hAnsiTheme="minorHAnsi" w:cs="Public Sans Light"/>
                <w:color w:val="22272B"/>
                <w:sz w:val="20"/>
                <w:szCs w:val="20"/>
              </w:rPr>
              <w:t>Brief description</w:t>
            </w:r>
          </w:p>
        </w:tc>
      </w:tr>
      <w:tr w:rsidR="00553FF3" w:rsidRPr="0075394D" w14:paraId="054AFB3C" w14:textId="77777777" w:rsidTr="001F3420">
        <w:tc>
          <w:tcPr>
            <w:cnfStyle w:val="001000000000" w:firstRow="0" w:lastRow="0" w:firstColumn="1" w:lastColumn="0" w:oddVBand="0" w:evenVBand="0" w:oddHBand="0" w:evenHBand="0" w:firstRowFirstColumn="0" w:firstRowLastColumn="0" w:lastRowFirstColumn="0" w:lastRowLastColumn="0"/>
            <w:tcW w:w="1696" w:type="dxa"/>
          </w:tcPr>
          <w:p w14:paraId="48C84535" w14:textId="49FC8775" w:rsidR="00553FF3" w:rsidRPr="0075394D" w:rsidRDefault="00553FF3">
            <w:pPr>
              <w:rPr>
                <w:rFonts w:asciiTheme="minorHAnsi" w:hAnsiTheme="minorHAnsi" w:cstheme="minorHAnsi"/>
                <w:iCs/>
                <w:sz w:val="20"/>
                <w:szCs w:val="20"/>
              </w:rPr>
            </w:pPr>
            <w:r w:rsidRPr="0075394D">
              <w:rPr>
                <w:rFonts w:asciiTheme="minorHAnsi" w:hAnsiTheme="minorHAnsi" w:cstheme="minorHAnsi"/>
                <w:iCs/>
                <w:sz w:val="20"/>
                <w:szCs w:val="20"/>
              </w:rPr>
              <w:t xml:space="preserve">Surveys </w:t>
            </w:r>
          </w:p>
        </w:tc>
        <w:tc>
          <w:tcPr>
            <w:tcW w:w="8369" w:type="dxa"/>
          </w:tcPr>
          <w:p w14:paraId="3BF4E50F" w14:textId="77777777" w:rsidR="00CC2368" w:rsidRPr="0075394D" w:rsidRDefault="00553FF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Cs/>
                <w:sz w:val="20"/>
                <w:szCs w:val="20"/>
              </w:rPr>
            </w:pPr>
            <w:r w:rsidRPr="0075394D">
              <w:rPr>
                <w:rFonts w:asciiTheme="minorHAnsi" w:hAnsiTheme="minorHAnsi" w:cstheme="minorHAnsi"/>
                <w:iCs/>
                <w:sz w:val="20"/>
                <w:szCs w:val="20"/>
              </w:rPr>
              <w:t xml:space="preserve">Can be delivered by email, face-to-face, internet, mail or telephone. Can collect self-reported data that can be compared over time or before and after the program. </w:t>
            </w:r>
          </w:p>
          <w:p w14:paraId="4613EBD4" w14:textId="797C6102" w:rsidR="00553FF3" w:rsidRPr="0075394D" w:rsidRDefault="00553FF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Cs/>
                <w:sz w:val="20"/>
                <w:szCs w:val="20"/>
              </w:rPr>
            </w:pPr>
            <w:r w:rsidRPr="0075394D">
              <w:rPr>
                <w:rFonts w:asciiTheme="minorHAnsi" w:hAnsiTheme="minorHAnsi" w:cstheme="minorHAnsi"/>
                <w:iCs/>
                <w:sz w:val="20"/>
                <w:szCs w:val="20"/>
              </w:rPr>
              <w:t>Examples include surveys of businesses within a SEP</w:t>
            </w:r>
            <w:r w:rsidR="00CC2368" w:rsidRPr="0075394D">
              <w:rPr>
                <w:rFonts w:asciiTheme="minorHAnsi" w:hAnsiTheme="minorHAnsi" w:cstheme="minorHAnsi"/>
                <w:iCs/>
                <w:sz w:val="20"/>
                <w:szCs w:val="20"/>
              </w:rPr>
              <w:t xml:space="preserve"> to capture sentiment, trading hours and consumer behaviour, and economic impacts (jobs created, turnover etc)</w:t>
            </w:r>
          </w:p>
        </w:tc>
      </w:tr>
      <w:tr w:rsidR="00781DF7" w:rsidRPr="0075394D" w14:paraId="00D1867E" w14:textId="77777777" w:rsidTr="001F3420">
        <w:tc>
          <w:tcPr>
            <w:cnfStyle w:val="001000000000" w:firstRow="0" w:lastRow="0" w:firstColumn="1" w:lastColumn="0" w:oddVBand="0" w:evenVBand="0" w:oddHBand="0" w:evenHBand="0" w:firstRowFirstColumn="0" w:firstRowLastColumn="0" w:lastRowFirstColumn="0" w:lastRowLastColumn="0"/>
            <w:tcW w:w="1696" w:type="dxa"/>
          </w:tcPr>
          <w:p w14:paraId="2894F0C2" w14:textId="77777777" w:rsidR="00553FF3" w:rsidRPr="0075394D" w:rsidRDefault="00553FF3">
            <w:pPr>
              <w:rPr>
                <w:rFonts w:asciiTheme="minorHAnsi" w:hAnsiTheme="minorHAnsi" w:cstheme="minorHAnsi"/>
                <w:iCs/>
                <w:sz w:val="20"/>
                <w:szCs w:val="20"/>
              </w:rPr>
            </w:pPr>
            <w:r w:rsidRPr="0075394D">
              <w:rPr>
                <w:rFonts w:asciiTheme="minorHAnsi" w:hAnsiTheme="minorHAnsi" w:cstheme="minorHAnsi"/>
                <w:iCs/>
                <w:sz w:val="20"/>
                <w:szCs w:val="20"/>
              </w:rPr>
              <w:t>Case studies</w:t>
            </w:r>
          </w:p>
        </w:tc>
        <w:tc>
          <w:tcPr>
            <w:tcW w:w="8369" w:type="dxa"/>
          </w:tcPr>
          <w:p w14:paraId="74E512A6" w14:textId="77777777" w:rsidR="00553FF3" w:rsidRPr="0075394D" w:rsidRDefault="00553FF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Cs/>
                <w:sz w:val="20"/>
                <w:szCs w:val="20"/>
              </w:rPr>
            </w:pPr>
            <w:r w:rsidRPr="0075394D">
              <w:rPr>
                <w:rFonts w:asciiTheme="minorHAnsi" w:hAnsiTheme="minorHAnsi" w:cstheme="minorHAnsi"/>
                <w:iCs/>
                <w:sz w:val="20"/>
                <w:szCs w:val="20"/>
              </w:rPr>
              <w:t>Typically used to illustrate benefits or highlight the successes of the program. Usually presents data related to one customer or project.</w:t>
            </w:r>
          </w:p>
        </w:tc>
      </w:tr>
      <w:tr w:rsidR="00553FF3" w:rsidRPr="0075394D" w14:paraId="1F9EE71F" w14:textId="77777777" w:rsidTr="001F3420">
        <w:tc>
          <w:tcPr>
            <w:cnfStyle w:val="001000000000" w:firstRow="0" w:lastRow="0" w:firstColumn="1" w:lastColumn="0" w:oddVBand="0" w:evenVBand="0" w:oddHBand="0" w:evenHBand="0" w:firstRowFirstColumn="0" w:firstRowLastColumn="0" w:lastRowFirstColumn="0" w:lastRowLastColumn="0"/>
            <w:tcW w:w="1696" w:type="dxa"/>
          </w:tcPr>
          <w:p w14:paraId="679339A6" w14:textId="77777777" w:rsidR="00553FF3" w:rsidRPr="0075394D" w:rsidRDefault="00553FF3">
            <w:pPr>
              <w:rPr>
                <w:rFonts w:asciiTheme="minorHAnsi" w:hAnsiTheme="minorHAnsi" w:cstheme="minorHAnsi"/>
                <w:iCs/>
                <w:sz w:val="20"/>
                <w:szCs w:val="20"/>
              </w:rPr>
            </w:pPr>
            <w:r w:rsidRPr="0075394D">
              <w:rPr>
                <w:rFonts w:asciiTheme="minorHAnsi" w:hAnsiTheme="minorHAnsi" w:cstheme="minorHAnsi"/>
                <w:iCs/>
                <w:sz w:val="20"/>
                <w:szCs w:val="20"/>
              </w:rPr>
              <w:t>Interviews</w:t>
            </w:r>
          </w:p>
        </w:tc>
        <w:tc>
          <w:tcPr>
            <w:tcW w:w="8369" w:type="dxa"/>
          </w:tcPr>
          <w:p w14:paraId="161786E6" w14:textId="77777777" w:rsidR="00553FF3" w:rsidRPr="0075394D" w:rsidRDefault="00553FF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Cs/>
                <w:sz w:val="20"/>
                <w:szCs w:val="20"/>
              </w:rPr>
            </w:pPr>
            <w:r w:rsidRPr="0075394D">
              <w:rPr>
                <w:rFonts w:asciiTheme="minorHAnsi" w:hAnsiTheme="minorHAnsi" w:cstheme="minorHAnsi"/>
                <w:iCs/>
                <w:sz w:val="20"/>
                <w:szCs w:val="20"/>
              </w:rPr>
              <w:t>May be structured or unstructured and may be targeted to key informants or customers. Can collect self-reported data and estimates of the impact of the program.</w:t>
            </w:r>
          </w:p>
        </w:tc>
      </w:tr>
      <w:tr w:rsidR="00781DF7" w:rsidRPr="0075394D" w14:paraId="358960DE" w14:textId="77777777" w:rsidTr="001F3420">
        <w:tc>
          <w:tcPr>
            <w:cnfStyle w:val="001000000000" w:firstRow="0" w:lastRow="0" w:firstColumn="1" w:lastColumn="0" w:oddVBand="0" w:evenVBand="0" w:oddHBand="0" w:evenHBand="0" w:firstRowFirstColumn="0" w:firstRowLastColumn="0" w:lastRowFirstColumn="0" w:lastRowLastColumn="0"/>
            <w:tcW w:w="1696" w:type="dxa"/>
          </w:tcPr>
          <w:p w14:paraId="2E154144" w14:textId="77777777" w:rsidR="00553FF3" w:rsidRPr="0075394D" w:rsidRDefault="00553FF3">
            <w:pPr>
              <w:rPr>
                <w:rFonts w:asciiTheme="minorHAnsi" w:hAnsiTheme="minorHAnsi" w:cstheme="minorHAnsi"/>
                <w:iCs/>
                <w:sz w:val="20"/>
                <w:szCs w:val="20"/>
              </w:rPr>
            </w:pPr>
            <w:r w:rsidRPr="0075394D">
              <w:rPr>
                <w:rFonts w:asciiTheme="minorHAnsi" w:hAnsiTheme="minorHAnsi" w:cstheme="minorHAnsi"/>
                <w:iCs/>
                <w:sz w:val="20"/>
                <w:szCs w:val="20"/>
              </w:rPr>
              <w:t>Big data</w:t>
            </w:r>
          </w:p>
        </w:tc>
        <w:tc>
          <w:tcPr>
            <w:tcW w:w="8369" w:type="dxa"/>
          </w:tcPr>
          <w:p w14:paraId="791BEE23" w14:textId="77777777" w:rsidR="00553FF3" w:rsidRPr="0075394D" w:rsidRDefault="00553FF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Cs/>
                <w:sz w:val="20"/>
                <w:szCs w:val="20"/>
              </w:rPr>
            </w:pPr>
            <w:r w:rsidRPr="0075394D">
              <w:rPr>
                <w:rFonts w:asciiTheme="minorHAnsi" w:hAnsiTheme="minorHAnsi" w:cstheme="minorHAnsi"/>
                <w:iCs/>
                <w:sz w:val="20"/>
                <w:szCs w:val="20"/>
              </w:rPr>
              <w:t xml:space="preserve">Large data sets that may be analysed computationally to reveal patterns, trends and associations. </w:t>
            </w:r>
          </w:p>
          <w:p w14:paraId="00759F9B" w14:textId="7AFD1EF3" w:rsidR="00553FF3" w:rsidRPr="0075394D" w:rsidRDefault="00CC236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Cs/>
                <w:sz w:val="20"/>
                <w:szCs w:val="20"/>
              </w:rPr>
            </w:pPr>
            <w:r w:rsidRPr="0075394D">
              <w:rPr>
                <w:rFonts w:asciiTheme="minorHAnsi" w:hAnsiTheme="minorHAnsi" w:cstheme="minorHAnsi"/>
                <w:iCs/>
                <w:sz w:val="20"/>
                <w:szCs w:val="20"/>
              </w:rPr>
              <w:t>Examples include</w:t>
            </w:r>
            <w:r w:rsidR="00553FF3" w:rsidRPr="0075394D">
              <w:rPr>
                <w:rFonts w:asciiTheme="minorHAnsi" w:hAnsiTheme="minorHAnsi" w:cstheme="minorHAnsi"/>
                <w:iCs/>
                <w:sz w:val="20"/>
                <w:szCs w:val="20"/>
              </w:rPr>
              <w:t xml:space="preserve"> relevant measures from Data After Dark including mobility and spend</w:t>
            </w:r>
            <w:r w:rsidRPr="0075394D">
              <w:rPr>
                <w:rFonts w:asciiTheme="minorHAnsi" w:hAnsiTheme="minorHAnsi" w:cstheme="minorHAnsi"/>
                <w:iCs/>
                <w:sz w:val="20"/>
                <w:szCs w:val="20"/>
              </w:rPr>
              <w:t xml:space="preserve"> as available and/or Transport for NSW data on public transport usage</w:t>
            </w:r>
          </w:p>
        </w:tc>
      </w:tr>
      <w:tr w:rsidR="00553FF3" w:rsidRPr="0075394D" w14:paraId="58C9A347" w14:textId="77777777" w:rsidTr="001F3420">
        <w:tc>
          <w:tcPr>
            <w:cnfStyle w:val="001000000000" w:firstRow="0" w:lastRow="0" w:firstColumn="1" w:lastColumn="0" w:oddVBand="0" w:evenVBand="0" w:oddHBand="0" w:evenHBand="0" w:firstRowFirstColumn="0" w:firstRowLastColumn="0" w:lastRowFirstColumn="0" w:lastRowLastColumn="0"/>
            <w:tcW w:w="1696" w:type="dxa"/>
          </w:tcPr>
          <w:p w14:paraId="1D73DF9B" w14:textId="77777777" w:rsidR="00553FF3" w:rsidRPr="0075394D" w:rsidRDefault="00553FF3">
            <w:pPr>
              <w:rPr>
                <w:rFonts w:asciiTheme="minorHAnsi" w:hAnsiTheme="minorHAnsi" w:cstheme="minorHAnsi"/>
                <w:iCs/>
                <w:sz w:val="20"/>
                <w:szCs w:val="20"/>
              </w:rPr>
            </w:pPr>
            <w:r w:rsidRPr="0075394D">
              <w:rPr>
                <w:rFonts w:asciiTheme="minorHAnsi" w:hAnsiTheme="minorHAnsi" w:cstheme="minorHAnsi"/>
                <w:iCs/>
                <w:sz w:val="20"/>
                <w:szCs w:val="20"/>
              </w:rPr>
              <w:t>Official statistics</w:t>
            </w:r>
          </w:p>
        </w:tc>
        <w:tc>
          <w:tcPr>
            <w:tcW w:w="8369" w:type="dxa"/>
          </w:tcPr>
          <w:p w14:paraId="0155EF4A" w14:textId="3390F34E" w:rsidR="00553FF3" w:rsidRPr="0075394D" w:rsidRDefault="00553FF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Cs/>
                <w:sz w:val="20"/>
                <w:szCs w:val="20"/>
              </w:rPr>
            </w:pPr>
            <w:r w:rsidRPr="0075394D">
              <w:rPr>
                <w:rFonts w:asciiTheme="minorHAnsi" w:hAnsiTheme="minorHAnsi" w:cstheme="minorHAnsi"/>
                <w:iCs/>
                <w:sz w:val="20"/>
                <w:szCs w:val="20"/>
              </w:rPr>
              <w:t>Data compiled over time by government</w:t>
            </w:r>
            <w:r w:rsidR="00CC2368" w:rsidRPr="0075394D">
              <w:rPr>
                <w:rFonts w:asciiTheme="minorHAnsi" w:hAnsiTheme="minorHAnsi" w:cstheme="minorHAnsi"/>
                <w:iCs/>
                <w:sz w:val="20"/>
                <w:szCs w:val="20"/>
              </w:rPr>
              <w:t xml:space="preserve"> to identify broader trends</w:t>
            </w:r>
            <w:r w:rsidRPr="0075394D">
              <w:rPr>
                <w:rFonts w:asciiTheme="minorHAnsi" w:hAnsiTheme="minorHAnsi" w:cstheme="minorHAnsi"/>
                <w:iCs/>
                <w:sz w:val="20"/>
                <w:szCs w:val="20"/>
              </w:rPr>
              <w:t>. Examples include ABS and BOCSAR.</w:t>
            </w:r>
          </w:p>
        </w:tc>
      </w:tr>
      <w:tr w:rsidR="00553FF3" w:rsidRPr="0075394D" w14:paraId="32FDD390" w14:textId="77777777" w:rsidTr="001F3420">
        <w:tc>
          <w:tcPr>
            <w:cnfStyle w:val="001000000000" w:firstRow="0" w:lastRow="0" w:firstColumn="1" w:lastColumn="0" w:oddVBand="0" w:evenVBand="0" w:oddHBand="0" w:evenHBand="0" w:firstRowFirstColumn="0" w:firstRowLastColumn="0" w:lastRowFirstColumn="0" w:lastRowLastColumn="0"/>
            <w:tcW w:w="1696" w:type="dxa"/>
          </w:tcPr>
          <w:p w14:paraId="4044C7CF" w14:textId="77777777" w:rsidR="00553FF3" w:rsidRPr="0075394D" w:rsidRDefault="00553FF3">
            <w:pPr>
              <w:rPr>
                <w:rFonts w:asciiTheme="minorHAnsi" w:hAnsiTheme="minorHAnsi" w:cstheme="minorHAnsi"/>
                <w:iCs/>
                <w:sz w:val="20"/>
                <w:szCs w:val="20"/>
              </w:rPr>
            </w:pPr>
            <w:r w:rsidRPr="0075394D">
              <w:rPr>
                <w:rFonts w:asciiTheme="minorHAnsi" w:hAnsiTheme="minorHAnsi" w:cstheme="minorHAnsi"/>
                <w:iCs/>
                <w:sz w:val="20"/>
                <w:szCs w:val="20"/>
              </w:rPr>
              <w:lastRenderedPageBreak/>
              <w:t>Administrative data</w:t>
            </w:r>
          </w:p>
        </w:tc>
        <w:tc>
          <w:tcPr>
            <w:tcW w:w="8369" w:type="dxa"/>
          </w:tcPr>
          <w:p w14:paraId="78EA50CB" w14:textId="77777777" w:rsidR="00553FF3" w:rsidRPr="0075394D" w:rsidRDefault="00553FF3">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Cs/>
                <w:sz w:val="20"/>
                <w:szCs w:val="20"/>
              </w:rPr>
            </w:pPr>
            <w:r w:rsidRPr="0075394D">
              <w:rPr>
                <w:rFonts w:asciiTheme="minorHAnsi" w:hAnsiTheme="minorHAnsi" w:cstheme="minorHAnsi"/>
                <w:iCs/>
                <w:sz w:val="20"/>
                <w:szCs w:val="20"/>
              </w:rPr>
              <w:t>Data recorded during the carrying out of the activities of the program. It includes data on customers who receive the service, ‘transactions’ involved in delivering the service, and the level and timing of activities undertaken by the program.</w:t>
            </w:r>
          </w:p>
          <w:p w14:paraId="29B229E4" w14:textId="4063E304" w:rsidR="00CC2368" w:rsidRPr="0075394D" w:rsidRDefault="00CC2368">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Cs/>
                <w:sz w:val="20"/>
                <w:szCs w:val="20"/>
              </w:rPr>
            </w:pPr>
            <w:r w:rsidRPr="0075394D">
              <w:rPr>
                <w:rFonts w:asciiTheme="minorHAnsi" w:hAnsiTheme="minorHAnsi" w:cstheme="minorHAnsi"/>
                <w:iCs/>
                <w:sz w:val="20"/>
                <w:szCs w:val="20"/>
              </w:rPr>
              <w:t>Examples include routine data and information collected and compiled from participating businesses and other stakeholders</w:t>
            </w:r>
          </w:p>
        </w:tc>
      </w:tr>
    </w:tbl>
    <w:p w14:paraId="723CAB68" w14:textId="7E74259F" w:rsidR="005A0469" w:rsidRPr="0075394D" w:rsidRDefault="005A0469" w:rsidP="005A0469">
      <w:pPr>
        <w:pStyle w:val="Heading3"/>
        <w:rPr>
          <w:rFonts w:asciiTheme="minorHAnsi" w:hAnsiTheme="minorHAnsi"/>
        </w:rPr>
      </w:pPr>
      <w:r w:rsidRPr="0075394D">
        <w:rPr>
          <w:rFonts w:asciiTheme="minorHAnsi" w:hAnsiTheme="minorHAnsi"/>
        </w:rPr>
        <w:t>Monitoring plans</w:t>
      </w:r>
    </w:p>
    <w:p w14:paraId="625CD5DF" w14:textId="77777777" w:rsidR="006C6586" w:rsidRPr="0075394D" w:rsidRDefault="005A0469" w:rsidP="00E55CEE">
      <w:pPr>
        <w:pStyle w:val="BodyText"/>
      </w:pPr>
      <w:r w:rsidRPr="0075394D">
        <w:t xml:space="preserve">A </w:t>
      </w:r>
      <w:r w:rsidR="00E55CEE" w:rsidRPr="0075394D">
        <w:t xml:space="preserve">SEP </w:t>
      </w:r>
      <w:r w:rsidRPr="0075394D">
        <w:t xml:space="preserve">monitoring plan should include principles for guiding project decision-making with community involvement for unforeseen matters that may arise. </w:t>
      </w:r>
      <w:r w:rsidR="00B82A54" w:rsidRPr="0075394D">
        <w:t xml:space="preserve">Council </w:t>
      </w:r>
      <w:r w:rsidRPr="0075394D">
        <w:t>may wish to include a charter to this effect</w:t>
      </w:r>
      <w:r w:rsidR="006C6586" w:rsidRPr="0075394D">
        <w:t>.</w:t>
      </w:r>
    </w:p>
    <w:p w14:paraId="137E2536" w14:textId="75964879" w:rsidR="005A0469" w:rsidRPr="0075394D" w:rsidRDefault="006C6586" w:rsidP="00E55CEE">
      <w:pPr>
        <w:pStyle w:val="BodyText"/>
      </w:pPr>
      <w:r w:rsidRPr="0075394D">
        <w:t>Data</w:t>
      </w:r>
      <w:r w:rsidR="005A0469" w:rsidRPr="0075394D">
        <w:t xml:space="preserve"> should be checked regularly by the Precinct Working Group and/or relevant Communications team at Council</w:t>
      </w:r>
      <w:r w:rsidR="00E55CEE" w:rsidRPr="0075394D">
        <w:t xml:space="preserve"> </w:t>
      </w:r>
      <w:r w:rsidR="005A0469" w:rsidRPr="0075394D">
        <w:t>and reported to the O24HEC</w:t>
      </w:r>
      <w:r w:rsidR="0074402C" w:rsidRPr="0075394D">
        <w:t>, L&amp;GNSW, the relevant Local Health District, and NSW Police Force.</w:t>
      </w:r>
      <w:r w:rsidR="005A0469" w:rsidRPr="0075394D">
        <w:t xml:space="preserve"> </w:t>
      </w:r>
    </w:p>
    <w:p w14:paraId="29FD0D8F" w14:textId="49E4083B" w:rsidR="00CC2368" w:rsidRPr="0075394D" w:rsidRDefault="005A0469" w:rsidP="00E55CEE">
      <w:pPr>
        <w:pStyle w:val="BodyText"/>
      </w:pPr>
      <w:r w:rsidRPr="0075394D">
        <w:t xml:space="preserve">The following </w:t>
      </w:r>
      <w:r w:rsidR="00455C7C" w:rsidRPr="0075394D">
        <w:t>template</w:t>
      </w:r>
      <w:r w:rsidRPr="0075394D">
        <w:t xml:space="preserve"> SEP Monitoring Plan can be used to monitor the SEP after the trial commences. </w:t>
      </w:r>
      <w:r w:rsidR="007D3AC8" w:rsidRPr="0075394D">
        <w:t>The measures outlined are indicative only and c</w:t>
      </w:r>
      <w:r w:rsidRPr="0075394D">
        <w:t>ouncils should amend to ensure th</w:t>
      </w:r>
      <w:r w:rsidR="00E40D5F" w:rsidRPr="0075394D">
        <w:t>at</w:t>
      </w:r>
      <w:r w:rsidRPr="0075394D">
        <w:t xml:space="preserve"> plan responds to the individual desired outcome</w:t>
      </w:r>
      <w:r w:rsidR="00E40D5F" w:rsidRPr="0075394D">
        <w:t>s and characteristics</w:t>
      </w:r>
      <w:r w:rsidRPr="0075394D">
        <w:t xml:space="preserve"> </w:t>
      </w:r>
      <w:r w:rsidR="00E40D5F" w:rsidRPr="0075394D">
        <w:t xml:space="preserve">of </w:t>
      </w:r>
      <w:r w:rsidRPr="0075394D">
        <w:t>each SEP</w:t>
      </w:r>
      <w:r w:rsidR="00C83E71" w:rsidRPr="0075394D">
        <w:t>,</w:t>
      </w:r>
      <w:r w:rsidR="00BA263B" w:rsidRPr="0075394D">
        <w:t xml:space="preserve"> and</w:t>
      </w:r>
      <w:r w:rsidR="00C83E71" w:rsidRPr="0075394D">
        <w:t xml:space="preserve"> practicalities of data </w:t>
      </w:r>
      <w:r w:rsidR="00000925" w:rsidRPr="0075394D">
        <w:t>collection</w:t>
      </w:r>
      <w:r w:rsidR="6A4CEDC0" w:rsidRPr="0075394D">
        <w:t>.</w:t>
      </w:r>
      <w:r w:rsidR="00BA263B" w:rsidRPr="0075394D">
        <w:t xml:space="preserve"> </w:t>
      </w:r>
      <w:r w:rsidRPr="0075394D">
        <w:t>It is recommended for best practice that monitoring at regular intervals occurs once the SEP is established on an ongoing basis.</w:t>
      </w:r>
      <w:r w:rsidR="00754DDA" w:rsidRPr="0075394D">
        <w:t xml:space="preserve"> </w:t>
      </w:r>
      <w:r w:rsidR="00CC2368" w:rsidRPr="0075394D">
        <w:t>Information gather</w:t>
      </w:r>
      <w:r w:rsidR="00754DDA" w:rsidRPr="0075394D">
        <w:t>ed</w:t>
      </w:r>
      <w:r w:rsidR="00CC2368" w:rsidRPr="0075394D">
        <w:t xml:space="preserve"> for this purpose can similarly support future evaluation activities.</w:t>
      </w:r>
    </w:p>
    <w:p w14:paraId="15D976D4" w14:textId="56CB060F" w:rsidR="005A0469" w:rsidRPr="0075394D" w:rsidRDefault="005A0469" w:rsidP="005A0469">
      <w:pPr>
        <w:pStyle w:val="Caption"/>
        <w:keepNext/>
      </w:pPr>
      <w:r w:rsidRPr="0075394D">
        <w:t xml:space="preserve">Table </w:t>
      </w:r>
      <w:r w:rsidRPr="0075394D">
        <w:fldChar w:fldCharType="begin"/>
      </w:r>
      <w:r w:rsidRPr="0075394D">
        <w:instrText xml:space="preserve"> SEQ Table \* ARABIC </w:instrText>
      </w:r>
      <w:r w:rsidRPr="0075394D">
        <w:fldChar w:fldCharType="separate"/>
      </w:r>
      <w:r w:rsidRPr="0075394D">
        <w:rPr>
          <w:noProof/>
        </w:rPr>
        <w:t>2</w:t>
      </w:r>
      <w:r w:rsidRPr="0075394D">
        <w:fldChar w:fldCharType="end"/>
      </w:r>
      <w:r w:rsidRPr="0075394D">
        <w:t xml:space="preserve"> Example </w:t>
      </w:r>
      <w:r w:rsidR="000B7DF3" w:rsidRPr="0075394D">
        <w:t>SEP monitoring plan</w:t>
      </w:r>
    </w:p>
    <w:tbl>
      <w:tblPr>
        <w:tblStyle w:val="GridTable1Light"/>
        <w:tblW w:w="10485" w:type="dxa"/>
        <w:tblLayout w:type="fixed"/>
        <w:tblLook w:val="04A0" w:firstRow="1" w:lastRow="0" w:firstColumn="1" w:lastColumn="0" w:noHBand="0" w:noVBand="1"/>
      </w:tblPr>
      <w:tblGrid>
        <w:gridCol w:w="1696"/>
        <w:gridCol w:w="2268"/>
        <w:gridCol w:w="1418"/>
        <w:gridCol w:w="2410"/>
        <w:gridCol w:w="1134"/>
        <w:gridCol w:w="1559"/>
      </w:tblGrid>
      <w:tr w:rsidR="0058068B" w:rsidRPr="0075394D" w14:paraId="7DE48722" w14:textId="77777777" w:rsidTr="008056C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96" w:type="dxa"/>
            <w:shd w:val="clear" w:color="auto" w:fill="9999FF"/>
          </w:tcPr>
          <w:p w14:paraId="52B06D7E" w14:textId="2306F23D" w:rsidR="0058068B" w:rsidRPr="0075394D" w:rsidRDefault="0058068B" w:rsidP="005A0469">
            <w:pPr>
              <w:pStyle w:val="BodyText"/>
              <w:rPr>
                <w:b w:val="0"/>
                <w:bCs w:val="0"/>
                <w:sz w:val="20"/>
                <w:szCs w:val="20"/>
              </w:rPr>
            </w:pPr>
            <w:r w:rsidRPr="0075394D">
              <w:rPr>
                <w:sz w:val="20"/>
                <w:szCs w:val="20"/>
              </w:rPr>
              <w:t>Desired outcome</w:t>
            </w:r>
            <w:r w:rsidR="00455C7C" w:rsidRPr="0075394D">
              <w:rPr>
                <w:sz w:val="20"/>
                <w:szCs w:val="20"/>
              </w:rPr>
              <w:t xml:space="preserve"> (examples)</w:t>
            </w:r>
          </w:p>
        </w:tc>
        <w:tc>
          <w:tcPr>
            <w:tcW w:w="2268" w:type="dxa"/>
            <w:shd w:val="clear" w:color="auto" w:fill="9999FF"/>
          </w:tcPr>
          <w:p w14:paraId="556569BE" w14:textId="77777777" w:rsidR="0058068B" w:rsidRPr="0075394D" w:rsidRDefault="0058068B" w:rsidP="005A0469">
            <w:pPr>
              <w:pStyle w:val="BodyText"/>
              <w:cnfStyle w:val="100000000000" w:firstRow="1" w:lastRow="0" w:firstColumn="0" w:lastColumn="0" w:oddVBand="0" w:evenVBand="0" w:oddHBand="0" w:evenHBand="0" w:firstRowFirstColumn="0" w:firstRowLastColumn="0" w:lastRowFirstColumn="0" w:lastRowLastColumn="0"/>
              <w:rPr>
                <w:b w:val="0"/>
                <w:bCs w:val="0"/>
                <w:sz w:val="20"/>
                <w:szCs w:val="20"/>
              </w:rPr>
            </w:pPr>
            <w:r w:rsidRPr="0075394D">
              <w:rPr>
                <w:sz w:val="20"/>
                <w:szCs w:val="20"/>
              </w:rPr>
              <w:t>Indicators</w:t>
            </w:r>
          </w:p>
        </w:tc>
        <w:tc>
          <w:tcPr>
            <w:tcW w:w="1418" w:type="dxa"/>
            <w:shd w:val="clear" w:color="auto" w:fill="9999FF"/>
          </w:tcPr>
          <w:p w14:paraId="5D8F8A4F" w14:textId="77777777" w:rsidR="0058068B" w:rsidRPr="0075394D" w:rsidRDefault="0058068B" w:rsidP="005A0469">
            <w:pPr>
              <w:pStyle w:val="BodyText"/>
              <w:cnfStyle w:val="100000000000" w:firstRow="1" w:lastRow="0" w:firstColumn="0" w:lastColumn="0" w:oddVBand="0" w:evenVBand="0" w:oddHBand="0" w:evenHBand="0" w:firstRowFirstColumn="0" w:firstRowLastColumn="0" w:lastRowFirstColumn="0" w:lastRowLastColumn="0"/>
              <w:rPr>
                <w:b w:val="0"/>
                <w:bCs w:val="0"/>
                <w:sz w:val="20"/>
                <w:szCs w:val="20"/>
              </w:rPr>
            </w:pPr>
            <w:r w:rsidRPr="0075394D">
              <w:rPr>
                <w:sz w:val="20"/>
                <w:szCs w:val="20"/>
              </w:rPr>
              <w:t>Data source</w:t>
            </w:r>
          </w:p>
        </w:tc>
        <w:tc>
          <w:tcPr>
            <w:tcW w:w="2410" w:type="dxa"/>
            <w:shd w:val="clear" w:color="auto" w:fill="9999FF"/>
          </w:tcPr>
          <w:p w14:paraId="66B9E3D8" w14:textId="77777777" w:rsidR="0058068B" w:rsidRPr="0075394D" w:rsidRDefault="0058068B" w:rsidP="005A0469">
            <w:pPr>
              <w:pStyle w:val="BodyText"/>
              <w:cnfStyle w:val="100000000000" w:firstRow="1" w:lastRow="0" w:firstColumn="0" w:lastColumn="0" w:oddVBand="0" w:evenVBand="0" w:oddHBand="0" w:evenHBand="0" w:firstRowFirstColumn="0" w:firstRowLastColumn="0" w:lastRowFirstColumn="0" w:lastRowLastColumn="0"/>
              <w:rPr>
                <w:b w:val="0"/>
                <w:bCs w:val="0"/>
                <w:sz w:val="20"/>
                <w:szCs w:val="20"/>
              </w:rPr>
            </w:pPr>
            <w:r w:rsidRPr="0075394D">
              <w:rPr>
                <w:sz w:val="20"/>
                <w:szCs w:val="20"/>
              </w:rPr>
              <w:t>Collection</w:t>
            </w:r>
          </w:p>
        </w:tc>
        <w:tc>
          <w:tcPr>
            <w:tcW w:w="1134" w:type="dxa"/>
            <w:shd w:val="clear" w:color="auto" w:fill="9999FF"/>
          </w:tcPr>
          <w:p w14:paraId="0466CBEF" w14:textId="7AF5979B" w:rsidR="0058068B" w:rsidRPr="0075394D" w:rsidRDefault="0058068B" w:rsidP="005A0469">
            <w:pPr>
              <w:pStyle w:val="BodyText"/>
              <w:cnfStyle w:val="100000000000" w:firstRow="1" w:lastRow="0" w:firstColumn="0" w:lastColumn="0" w:oddVBand="0" w:evenVBand="0" w:oddHBand="0" w:evenHBand="0" w:firstRowFirstColumn="0" w:firstRowLastColumn="0" w:lastRowFirstColumn="0" w:lastRowLastColumn="0"/>
              <w:rPr>
                <w:b w:val="0"/>
                <w:bCs w:val="0"/>
                <w:sz w:val="20"/>
                <w:szCs w:val="20"/>
              </w:rPr>
            </w:pPr>
            <w:r w:rsidRPr="0075394D">
              <w:rPr>
                <w:sz w:val="20"/>
                <w:szCs w:val="20"/>
              </w:rPr>
              <w:t>Review/ frequency</w:t>
            </w:r>
          </w:p>
        </w:tc>
        <w:tc>
          <w:tcPr>
            <w:tcW w:w="1559" w:type="dxa"/>
            <w:shd w:val="clear" w:color="auto" w:fill="9999FF"/>
          </w:tcPr>
          <w:p w14:paraId="76AA49F7" w14:textId="77777777" w:rsidR="0058068B" w:rsidRPr="0075394D" w:rsidRDefault="0058068B" w:rsidP="005A0469">
            <w:pPr>
              <w:pStyle w:val="BodyText"/>
              <w:cnfStyle w:val="100000000000" w:firstRow="1" w:lastRow="0" w:firstColumn="0" w:lastColumn="0" w:oddVBand="0" w:evenVBand="0" w:oddHBand="0" w:evenHBand="0" w:firstRowFirstColumn="0" w:firstRowLastColumn="0" w:lastRowFirstColumn="0" w:lastRowLastColumn="0"/>
              <w:rPr>
                <w:b w:val="0"/>
                <w:bCs w:val="0"/>
                <w:sz w:val="20"/>
                <w:szCs w:val="20"/>
              </w:rPr>
            </w:pPr>
            <w:r w:rsidRPr="0075394D">
              <w:rPr>
                <w:sz w:val="20"/>
                <w:szCs w:val="20"/>
              </w:rPr>
              <w:t>Monitoring responsibility</w:t>
            </w:r>
          </w:p>
        </w:tc>
      </w:tr>
      <w:tr w:rsidR="0058068B" w:rsidRPr="0075394D" w14:paraId="23AAABFE" w14:textId="77777777" w:rsidTr="008056CD">
        <w:tc>
          <w:tcPr>
            <w:cnfStyle w:val="001000000000" w:firstRow="0" w:lastRow="0" w:firstColumn="1" w:lastColumn="0" w:oddVBand="0" w:evenVBand="0" w:oddHBand="0" w:evenHBand="0" w:firstRowFirstColumn="0" w:firstRowLastColumn="0" w:lastRowFirstColumn="0" w:lastRowLastColumn="0"/>
            <w:tcW w:w="1696" w:type="dxa"/>
          </w:tcPr>
          <w:p w14:paraId="43210DAD" w14:textId="77777777" w:rsidR="0058068B" w:rsidRPr="0075394D" w:rsidRDefault="0058068B" w:rsidP="005A0469">
            <w:pPr>
              <w:pStyle w:val="BodyText"/>
              <w:rPr>
                <w:sz w:val="20"/>
                <w:szCs w:val="20"/>
              </w:rPr>
            </w:pPr>
            <w:r w:rsidRPr="0075394D">
              <w:rPr>
                <w:sz w:val="20"/>
                <w:szCs w:val="20"/>
              </w:rPr>
              <w:t>Neighbours are not adversely affected by noise levels</w:t>
            </w:r>
          </w:p>
        </w:tc>
        <w:tc>
          <w:tcPr>
            <w:tcW w:w="2268" w:type="dxa"/>
          </w:tcPr>
          <w:p w14:paraId="66167618"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Proportion of neighbouring residents who are satisfied with the sound emissions</w:t>
            </w:r>
          </w:p>
        </w:tc>
        <w:tc>
          <w:tcPr>
            <w:tcW w:w="1418" w:type="dxa"/>
          </w:tcPr>
          <w:p w14:paraId="2ADECC0F" w14:textId="4B2B7FDE" w:rsidR="0058068B" w:rsidRPr="0075394D" w:rsidRDefault="00F22A1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 xml:space="preserve">Survey – Community Satisfaction </w:t>
            </w:r>
          </w:p>
          <w:p w14:paraId="40472015"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p>
          <w:p w14:paraId="03A6AE28"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p>
        </w:tc>
        <w:tc>
          <w:tcPr>
            <w:tcW w:w="2410" w:type="dxa"/>
          </w:tcPr>
          <w:p w14:paraId="2C73F6EB" w14:textId="669405D0"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Survey always open – publici</w:t>
            </w:r>
            <w:r w:rsidR="778D4B53" w:rsidRPr="0075394D">
              <w:rPr>
                <w:sz w:val="20"/>
                <w:szCs w:val="20"/>
              </w:rPr>
              <w:t>s</w:t>
            </w:r>
            <w:r w:rsidRPr="0075394D">
              <w:rPr>
                <w:sz w:val="20"/>
                <w:szCs w:val="20"/>
              </w:rPr>
              <w:t>ed via event notification letter to nearby letter to nearby residents via Precinct Working Group</w:t>
            </w:r>
          </w:p>
        </w:tc>
        <w:tc>
          <w:tcPr>
            <w:tcW w:w="1134" w:type="dxa"/>
          </w:tcPr>
          <w:p w14:paraId="77D46CA9"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Quarterly</w:t>
            </w:r>
          </w:p>
        </w:tc>
        <w:tc>
          <w:tcPr>
            <w:tcW w:w="1559" w:type="dxa"/>
          </w:tcPr>
          <w:p w14:paraId="2B5980B0"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Council - SEP Precinct Working Group</w:t>
            </w:r>
          </w:p>
        </w:tc>
      </w:tr>
      <w:tr w:rsidR="0058068B" w:rsidRPr="0075394D" w14:paraId="07261206" w14:textId="77777777" w:rsidTr="008056CD">
        <w:tc>
          <w:tcPr>
            <w:cnfStyle w:val="001000000000" w:firstRow="0" w:lastRow="0" w:firstColumn="1" w:lastColumn="0" w:oddVBand="0" w:evenVBand="0" w:oddHBand="0" w:evenHBand="0" w:firstRowFirstColumn="0" w:firstRowLastColumn="0" w:lastRowFirstColumn="0" w:lastRowLastColumn="0"/>
            <w:tcW w:w="1696" w:type="dxa"/>
          </w:tcPr>
          <w:p w14:paraId="6594F0C2" w14:textId="77777777" w:rsidR="0058068B" w:rsidRPr="0075394D" w:rsidRDefault="0058068B" w:rsidP="005A0469">
            <w:pPr>
              <w:pStyle w:val="BodyText"/>
              <w:rPr>
                <w:sz w:val="20"/>
                <w:szCs w:val="20"/>
              </w:rPr>
            </w:pPr>
            <w:r w:rsidRPr="0075394D">
              <w:rPr>
                <w:sz w:val="20"/>
                <w:szCs w:val="20"/>
              </w:rPr>
              <w:t>The SEP is easily accessible</w:t>
            </w:r>
          </w:p>
        </w:tc>
        <w:tc>
          <w:tcPr>
            <w:tcW w:w="2268" w:type="dxa"/>
          </w:tcPr>
          <w:p w14:paraId="1DE5393E"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Proportion of patrons to venues who are satisfied with accessibility levels</w:t>
            </w:r>
          </w:p>
        </w:tc>
        <w:tc>
          <w:tcPr>
            <w:tcW w:w="1418" w:type="dxa"/>
          </w:tcPr>
          <w:p w14:paraId="2DD0411D" w14:textId="77777777" w:rsidR="00F22A1B" w:rsidRPr="0075394D" w:rsidRDefault="00F22A1B" w:rsidP="00F22A1B">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 xml:space="preserve">Survey – Community Satisfaction </w:t>
            </w:r>
          </w:p>
          <w:p w14:paraId="703A3F44" w14:textId="5ED553C5"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p>
        </w:tc>
        <w:tc>
          <w:tcPr>
            <w:tcW w:w="2410" w:type="dxa"/>
          </w:tcPr>
          <w:p w14:paraId="0599FF87" w14:textId="57AFDE0B"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Survey always open – publici</w:t>
            </w:r>
            <w:r w:rsidR="7BABB067" w:rsidRPr="0075394D">
              <w:rPr>
                <w:sz w:val="20"/>
                <w:szCs w:val="20"/>
              </w:rPr>
              <w:t>s</w:t>
            </w:r>
            <w:r w:rsidRPr="0075394D">
              <w:rPr>
                <w:sz w:val="20"/>
                <w:szCs w:val="20"/>
              </w:rPr>
              <w:t>ed via event notification letter to patrons of venues within the SEP via Precinct Working Group</w:t>
            </w:r>
          </w:p>
        </w:tc>
        <w:tc>
          <w:tcPr>
            <w:tcW w:w="1134" w:type="dxa"/>
          </w:tcPr>
          <w:p w14:paraId="7FECA033"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Quarterly</w:t>
            </w:r>
          </w:p>
        </w:tc>
        <w:tc>
          <w:tcPr>
            <w:tcW w:w="1559" w:type="dxa"/>
          </w:tcPr>
          <w:p w14:paraId="33CAD3A4"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Council - SEP Precinct Working Group</w:t>
            </w:r>
          </w:p>
        </w:tc>
      </w:tr>
      <w:tr w:rsidR="0058068B" w:rsidRPr="0075394D" w14:paraId="10D10A10" w14:textId="77777777" w:rsidTr="008056CD">
        <w:tc>
          <w:tcPr>
            <w:cnfStyle w:val="001000000000" w:firstRow="0" w:lastRow="0" w:firstColumn="1" w:lastColumn="0" w:oddVBand="0" w:evenVBand="0" w:oddHBand="0" w:evenHBand="0" w:firstRowFirstColumn="0" w:firstRowLastColumn="0" w:lastRowFirstColumn="0" w:lastRowLastColumn="0"/>
            <w:tcW w:w="1696" w:type="dxa"/>
          </w:tcPr>
          <w:p w14:paraId="5A8E22AE" w14:textId="77777777" w:rsidR="0058068B" w:rsidRPr="0075394D" w:rsidRDefault="0058068B" w:rsidP="005A0469">
            <w:pPr>
              <w:pStyle w:val="BodyText"/>
              <w:rPr>
                <w:sz w:val="20"/>
                <w:szCs w:val="20"/>
              </w:rPr>
            </w:pPr>
            <w:r w:rsidRPr="0075394D">
              <w:rPr>
                <w:sz w:val="20"/>
                <w:szCs w:val="20"/>
              </w:rPr>
              <w:t>Improved economic conditions for venues</w:t>
            </w:r>
          </w:p>
        </w:tc>
        <w:tc>
          <w:tcPr>
            <w:tcW w:w="2268" w:type="dxa"/>
          </w:tcPr>
          <w:p w14:paraId="19D55763" w14:textId="24FE2E58"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rFonts w:eastAsia="Public Sans Light" w:cs="Public Sans Light"/>
                <w:color w:val="22272B"/>
                <w:sz w:val="20"/>
                <w:szCs w:val="20"/>
              </w:rPr>
              <w:t xml:space="preserve">Self-reported change in revenue generated from offerings and extended trade </w:t>
            </w:r>
          </w:p>
        </w:tc>
        <w:tc>
          <w:tcPr>
            <w:tcW w:w="1418" w:type="dxa"/>
          </w:tcPr>
          <w:p w14:paraId="3F671B3F" w14:textId="46449C84" w:rsidR="0058068B" w:rsidRPr="0075394D" w:rsidRDefault="00F93DB8"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rFonts w:eastAsia="Public Sans Light" w:cs="Public Sans Light"/>
                <w:color w:val="22272B"/>
                <w:sz w:val="20"/>
                <w:szCs w:val="20"/>
              </w:rPr>
              <w:t>Survey – Business</w:t>
            </w:r>
          </w:p>
        </w:tc>
        <w:tc>
          <w:tcPr>
            <w:tcW w:w="2410" w:type="dxa"/>
          </w:tcPr>
          <w:p w14:paraId="718D130E"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Distribution to all licensed premises within the SEP via Precinct Working Group (L&amp;GNSW)</w:t>
            </w:r>
          </w:p>
        </w:tc>
        <w:tc>
          <w:tcPr>
            <w:tcW w:w="1134" w:type="dxa"/>
          </w:tcPr>
          <w:p w14:paraId="4C20F1C0"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Quarterly</w:t>
            </w:r>
          </w:p>
        </w:tc>
        <w:tc>
          <w:tcPr>
            <w:tcW w:w="1559" w:type="dxa"/>
          </w:tcPr>
          <w:p w14:paraId="26E741B8"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Council - SEP Precinct Working Group</w:t>
            </w:r>
          </w:p>
        </w:tc>
      </w:tr>
      <w:tr w:rsidR="0058068B" w:rsidRPr="0075394D" w14:paraId="6A550078" w14:textId="77777777" w:rsidTr="008056CD">
        <w:tc>
          <w:tcPr>
            <w:cnfStyle w:val="001000000000" w:firstRow="0" w:lastRow="0" w:firstColumn="1" w:lastColumn="0" w:oddVBand="0" w:evenVBand="0" w:oddHBand="0" w:evenHBand="0" w:firstRowFirstColumn="0" w:firstRowLastColumn="0" w:lastRowFirstColumn="0" w:lastRowLastColumn="0"/>
            <w:tcW w:w="1696" w:type="dxa"/>
          </w:tcPr>
          <w:p w14:paraId="3E7BAF9A" w14:textId="10E631E7" w:rsidR="0058068B" w:rsidRPr="0075394D" w:rsidRDefault="0058068B" w:rsidP="005A0469">
            <w:pPr>
              <w:pStyle w:val="BodyText"/>
              <w:rPr>
                <w:sz w:val="20"/>
                <w:szCs w:val="20"/>
              </w:rPr>
            </w:pPr>
            <w:r w:rsidRPr="0075394D">
              <w:rPr>
                <w:sz w:val="20"/>
                <w:szCs w:val="20"/>
              </w:rPr>
              <w:t xml:space="preserve">Proportion of patrons travelling by public </w:t>
            </w:r>
            <w:r w:rsidRPr="0075394D">
              <w:rPr>
                <w:sz w:val="20"/>
                <w:szCs w:val="20"/>
              </w:rPr>
              <w:lastRenderedPageBreak/>
              <w:t>transport is maximi</w:t>
            </w:r>
            <w:r w:rsidR="4AB00A37" w:rsidRPr="0075394D">
              <w:rPr>
                <w:sz w:val="20"/>
                <w:szCs w:val="20"/>
              </w:rPr>
              <w:t>s</w:t>
            </w:r>
            <w:r w:rsidRPr="0075394D">
              <w:rPr>
                <w:sz w:val="20"/>
                <w:szCs w:val="20"/>
              </w:rPr>
              <w:t>ed</w:t>
            </w:r>
          </w:p>
        </w:tc>
        <w:tc>
          <w:tcPr>
            <w:tcW w:w="2268" w:type="dxa"/>
          </w:tcPr>
          <w:p w14:paraId="2A0C6BBB"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rFonts w:eastAsia="Public Sans Light" w:cs="Public Sans Light"/>
                <w:color w:val="22272B"/>
                <w:sz w:val="20"/>
                <w:szCs w:val="20"/>
              </w:rPr>
            </w:pPr>
            <w:r w:rsidRPr="0075394D">
              <w:rPr>
                <w:rFonts w:eastAsia="Public Sans Light" w:cs="Public Sans Light"/>
                <w:color w:val="22272B"/>
                <w:sz w:val="20"/>
                <w:szCs w:val="20"/>
              </w:rPr>
              <w:lastRenderedPageBreak/>
              <w:t>Proportion of visitors to the SEP travelling by public transport.</w:t>
            </w:r>
          </w:p>
        </w:tc>
        <w:tc>
          <w:tcPr>
            <w:tcW w:w="1418" w:type="dxa"/>
          </w:tcPr>
          <w:p w14:paraId="52D6E760"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Transport for NSW data</w:t>
            </w:r>
          </w:p>
          <w:p w14:paraId="0C66D46B" w14:textId="0AD0610E" w:rsidR="00CC2368" w:rsidRPr="0075394D" w:rsidRDefault="00CC2368"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p>
        </w:tc>
        <w:tc>
          <w:tcPr>
            <w:tcW w:w="2410" w:type="dxa"/>
          </w:tcPr>
          <w:p w14:paraId="5FEFBE8C"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TBC</w:t>
            </w:r>
          </w:p>
        </w:tc>
        <w:tc>
          <w:tcPr>
            <w:tcW w:w="1134" w:type="dxa"/>
          </w:tcPr>
          <w:p w14:paraId="0B6DEB1C"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Quarterly</w:t>
            </w:r>
          </w:p>
        </w:tc>
        <w:tc>
          <w:tcPr>
            <w:tcW w:w="1559" w:type="dxa"/>
          </w:tcPr>
          <w:p w14:paraId="12E15A61"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Council - SEP Precinct Working Group</w:t>
            </w:r>
          </w:p>
        </w:tc>
      </w:tr>
      <w:tr w:rsidR="0058068B" w:rsidRPr="0075394D" w14:paraId="2B84CB58" w14:textId="77777777" w:rsidTr="008056CD">
        <w:tc>
          <w:tcPr>
            <w:cnfStyle w:val="001000000000" w:firstRow="0" w:lastRow="0" w:firstColumn="1" w:lastColumn="0" w:oddVBand="0" w:evenVBand="0" w:oddHBand="0" w:evenHBand="0" w:firstRowFirstColumn="0" w:firstRowLastColumn="0" w:lastRowFirstColumn="0" w:lastRowLastColumn="0"/>
            <w:tcW w:w="1696" w:type="dxa"/>
          </w:tcPr>
          <w:p w14:paraId="59FFF580" w14:textId="10373DC3" w:rsidR="0058068B" w:rsidRPr="0075394D" w:rsidRDefault="0058068B" w:rsidP="005A0469">
            <w:pPr>
              <w:pStyle w:val="BodyText"/>
              <w:rPr>
                <w:sz w:val="20"/>
                <w:szCs w:val="20"/>
              </w:rPr>
            </w:pPr>
            <w:r w:rsidRPr="0075394D">
              <w:rPr>
                <w:sz w:val="20"/>
                <w:szCs w:val="20"/>
              </w:rPr>
              <w:t>The SEP provides a safe space for both patrons and staff of venues</w:t>
            </w:r>
          </w:p>
        </w:tc>
        <w:tc>
          <w:tcPr>
            <w:tcW w:w="2268" w:type="dxa"/>
          </w:tcPr>
          <w:p w14:paraId="373CA7B0" w14:textId="513556C8"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rFonts w:eastAsia="Public Sans Light" w:cs="Public Sans Light"/>
                <w:color w:val="22272B"/>
                <w:sz w:val="20"/>
                <w:szCs w:val="20"/>
              </w:rPr>
            </w:pPr>
            <w:r w:rsidRPr="0075394D">
              <w:rPr>
                <w:rFonts w:eastAsia="Public Sans Light" w:cs="Public Sans Light"/>
                <w:color w:val="22272B"/>
                <w:sz w:val="20"/>
                <w:szCs w:val="20"/>
              </w:rPr>
              <w:t>Number o</w:t>
            </w:r>
            <w:r w:rsidR="0018388A" w:rsidRPr="0075394D">
              <w:rPr>
                <w:rFonts w:eastAsia="Public Sans Light" w:cs="Public Sans Light"/>
                <w:color w:val="22272B"/>
                <w:sz w:val="20"/>
                <w:szCs w:val="20"/>
              </w:rPr>
              <w:t xml:space="preserve">f alcohol related incident call outs </w:t>
            </w:r>
            <w:r w:rsidR="008645B6" w:rsidRPr="0075394D">
              <w:rPr>
                <w:rFonts w:eastAsia="Public Sans Light" w:cs="Public Sans Light"/>
                <w:color w:val="22272B"/>
                <w:sz w:val="20"/>
                <w:szCs w:val="20"/>
              </w:rPr>
              <w:t xml:space="preserve">to the SEP including </w:t>
            </w:r>
            <w:r w:rsidR="004F3947" w:rsidRPr="0075394D">
              <w:rPr>
                <w:rFonts w:eastAsia="Public Sans Light" w:cs="Public Sans Light"/>
                <w:color w:val="22272B"/>
                <w:sz w:val="20"/>
                <w:szCs w:val="20"/>
              </w:rPr>
              <w:t xml:space="preserve">to </w:t>
            </w:r>
            <w:r w:rsidR="008645B6" w:rsidRPr="0075394D">
              <w:rPr>
                <w:rFonts w:eastAsia="Public Sans Light" w:cs="Public Sans Light"/>
                <w:color w:val="22272B"/>
                <w:sz w:val="20"/>
                <w:szCs w:val="20"/>
              </w:rPr>
              <w:t>premises and public places</w:t>
            </w:r>
          </w:p>
          <w:p w14:paraId="1BABDE19" w14:textId="29CE6D7F" w:rsidR="00FD4FEB" w:rsidRPr="0075394D" w:rsidRDefault="00AE79DF" w:rsidP="005A0469">
            <w:pPr>
              <w:pStyle w:val="BodyText"/>
              <w:cnfStyle w:val="000000000000" w:firstRow="0" w:lastRow="0" w:firstColumn="0" w:lastColumn="0" w:oddVBand="0" w:evenVBand="0" w:oddHBand="0" w:evenHBand="0" w:firstRowFirstColumn="0" w:firstRowLastColumn="0" w:lastRowFirstColumn="0" w:lastRowLastColumn="0"/>
              <w:rPr>
                <w:rFonts w:eastAsia="Public Sans Light" w:cs="Public Sans Light"/>
                <w:color w:val="22272B"/>
                <w:sz w:val="20"/>
                <w:szCs w:val="20"/>
              </w:rPr>
            </w:pPr>
            <w:r w:rsidRPr="0075394D">
              <w:rPr>
                <w:rFonts w:eastAsia="Public Sans Light" w:cs="Public Sans Light"/>
                <w:color w:val="22272B"/>
                <w:sz w:val="20"/>
                <w:szCs w:val="20"/>
              </w:rPr>
              <w:t>Number of alcohol related ambulance call outs</w:t>
            </w:r>
            <w:r w:rsidR="00621D65" w:rsidRPr="0075394D">
              <w:rPr>
                <w:rFonts w:eastAsia="Public Sans Light" w:cs="Public Sans Light"/>
                <w:color w:val="22272B"/>
                <w:sz w:val="20"/>
                <w:szCs w:val="20"/>
              </w:rPr>
              <w:t xml:space="preserve"> to premises and public places</w:t>
            </w:r>
          </w:p>
          <w:p w14:paraId="4B7A1DA5" w14:textId="25CC0AB2" w:rsidR="00FD4FEB" w:rsidRPr="0075394D" w:rsidRDefault="00FD4FEB" w:rsidP="005A0469">
            <w:pPr>
              <w:pStyle w:val="BodyText"/>
              <w:cnfStyle w:val="000000000000" w:firstRow="0" w:lastRow="0" w:firstColumn="0" w:lastColumn="0" w:oddVBand="0" w:evenVBand="0" w:oddHBand="0" w:evenHBand="0" w:firstRowFirstColumn="0" w:firstRowLastColumn="0" w:lastRowFirstColumn="0" w:lastRowLastColumn="0"/>
              <w:rPr>
                <w:rFonts w:eastAsia="Public Sans Light" w:cs="Public Sans Light"/>
                <w:color w:val="22272B"/>
                <w:sz w:val="20"/>
                <w:szCs w:val="20"/>
              </w:rPr>
            </w:pPr>
            <w:r w:rsidRPr="0075394D">
              <w:rPr>
                <w:rFonts w:eastAsia="Public Sans Light" w:cs="Public Sans Light"/>
                <w:color w:val="22272B"/>
                <w:sz w:val="20"/>
                <w:szCs w:val="20"/>
              </w:rPr>
              <w:t>Self-reported perceptions of safety</w:t>
            </w:r>
          </w:p>
        </w:tc>
        <w:tc>
          <w:tcPr>
            <w:tcW w:w="1418" w:type="dxa"/>
          </w:tcPr>
          <w:p w14:paraId="5C47F1B0" w14:textId="0BBF6AB7" w:rsidR="0058068B" w:rsidRPr="0075394D" w:rsidRDefault="00AE79DF"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 xml:space="preserve">Local Area Command </w:t>
            </w:r>
            <w:r w:rsidR="00A531E0" w:rsidRPr="0075394D">
              <w:rPr>
                <w:sz w:val="20"/>
                <w:szCs w:val="20"/>
              </w:rPr>
              <w:t>–</w:t>
            </w:r>
            <w:r w:rsidRPr="0075394D">
              <w:rPr>
                <w:sz w:val="20"/>
                <w:szCs w:val="20"/>
              </w:rPr>
              <w:t xml:space="preserve"> NSWPF</w:t>
            </w:r>
          </w:p>
          <w:p w14:paraId="7DA83695" w14:textId="77777777" w:rsidR="00173D15" w:rsidRPr="0075394D" w:rsidRDefault="00A531E0"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NSW Ambulance</w:t>
            </w:r>
          </w:p>
          <w:p w14:paraId="7F814E7B" w14:textId="65D34128" w:rsidR="00173D15" w:rsidRPr="0075394D" w:rsidRDefault="779E14BF"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Survey – Community Satisfaction</w:t>
            </w:r>
          </w:p>
          <w:p w14:paraId="18FE358E" w14:textId="79981B99" w:rsidR="00A531E0" w:rsidRPr="0075394D" w:rsidRDefault="779E14BF"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Survey - Business</w:t>
            </w:r>
            <w:r w:rsidR="78FD347B" w:rsidRPr="0075394D">
              <w:rPr>
                <w:sz w:val="20"/>
                <w:szCs w:val="20"/>
              </w:rPr>
              <w:t xml:space="preserve"> </w:t>
            </w:r>
          </w:p>
        </w:tc>
        <w:tc>
          <w:tcPr>
            <w:tcW w:w="2410" w:type="dxa"/>
          </w:tcPr>
          <w:p w14:paraId="6B59493F"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TBC</w:t>
            </w:r>
          </w:p>
        </w:tc>
        <w:tc>
          <w:tcPr>
            <w:tcW w:w="1134" w:type="dxa"/>
          </w:tcPr>
          <w:p w14:paraId="5B5BECB9"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Quarterly</w:t>
            </w:r>
          </w:p>
        </w:tc>
        <w:tc>
          <w:tcPr>
            <w:tcW w:w="1559" w:type="dxa"/>
          </w:tcPr>
          <w:p w14:paraId="70955257"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Council - SEP Precinct Working Group</w:t>
            </w:r>
          </w:p>
        </w:tc>
      </w:tr>
      <w:tr w:rsidR="0058068B" w:rsidRPr="0075394D" w14:paraId="7CFC80FE" w14:textId="77777777" w:rsidTr="008056CD">
        <w:tc>
          <w:tcPr>
            <w:cnfStyle w:val="001000000000" w:firstRow="0" w:lastRow="0" w:firstColumn="1" w:lastColumn="0" w:oddVBand="0" w:evenVBand="0" w:oddHBand="0" w:evenHBand="0" w:firstRowFirstColumn="0" w:firstRowLastColumn="0" w:lastRowFirstColumn="0" w:lastRowLastColumn="0"/>
            <w:tcW w:w="1696" w:type="dxa"/>
          </w:tcPr>
          <w:p w14:paraId="2079ACA3" w14:textId="77777777" w:rsidR="0058068B" w:rsidRPr="0075394D" w:rsidRDefault="0058068B" w:rsidP="005A0469">
            <w:pPr>
              <w:pStyle w:val="BodyText"/>
              <w:rPr>
                <w:sz w:val="20"/>
                <w:szCs w:val="20"/>
              </w:rPr>
            </w:pPr>
            <w:r w:rsidRPr="0075394D">
              <w:rPr>
                <w:sz w:val="20"/>
                <w:szCs w:val="20"/>
              </w:rPr>
              <w:t>Entertainment uses at venues do not exceed the set limits in the Precinct Management Plan</w:t>
            </w:r>
          </w:p>
        </w:tc>
        <w:tc>
          <w:tcPr>
            <w:tcW w:w="2268" w:type="dxa"/>
          </w:tcPr>
          <w:p w14:paraId="76E0AF7F"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rFonts w:eastAsia="Public Sans Light" w:cs="Public Sans Light"/>
                <w:color w:val="22272B"/>
                <w:sz w:val="20"/>
                <w:szCs w:val="20"/>
              </w:rPr>
            </w:pPr>
            <w:r w:rsidRPr="0075394D">
              <w:rPr>
                <w:rFonts w:eastAsia="Public Sans Light" w:cs="Public Sans Light"/>
                <w:color w:val="22272B"/>
                <w:sz w:val="20"/>
                <w:szCs w:val="20"/>
              </w:rPr>
              <w:t>Proportion of venues complying with the maximum noise levels</w:t>
            </w:r>
          </w:p>
        </w:tc>
        <w:tc>
          <w:tcPr>
            <w:tcW w:w="1418" w:type="dxa"/>
          </w:tcPr>
          <w:p w14:paraId="7BF71379"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Number of noise-related complaints to L&amp;GNSW around venues within the SEP during the trial</w:t>
            </w:r>
          </w:p>
          <w:p w14:paraId="50B315D2"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p>
        </w:tc>
        <w:tc>
          <w:tcPr>
            <w:tcW w:w="2410" w:type="dxa"/>
          </w:tcPr>
          <w:p w14:paraId="015905B7"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L&amp;GNSW</w:t>
            </w:r>
          </w:p>
        </w:tc>
        <w:tc>
          <w:tcPr>
            <w:tcW w:w="1134" w:type="dxa"/>
          </w:tcPr>
          <w:p w14:paraId="4F3CEA96"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Quarterly</w:t>
            </w:r>
          </w:p>
        </w:tc>
        <w:tc>
          <w:tcPr>
            <w:tcW w:w="1559" w:type="dxa"/>
          </w:tcPr>
          <w:p w14:paraId="6F0063AB"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Council and L&amp;GNSW/O24HEC</w:t>
            </w:r>
          </w:p>
        </w:tc>
      </w:tr>
      <w:tr w:rsidR="0058068B" w:rsidRPr="0075394D" w14:paraId="03D627DC" w14:textId="77777777" w:rsidTr="008056CD">
        <w:tc>
          <w:tcPr>
            <w:cnfStyle w:val="001000000000" w:firstRow="0" w:lastRow="0" w:firstColumn="1" w:lastColumn="0" w:oddVBand="0" w:evenVBand="0" w:oddHBand="0" w:evenHBand="0" w:firstRowFirstColumn="0" w:firstRowLastColumn="0" w:lastRowFirstColumn="0" w:lastRowLastColumn="0"/>
            <w:tcW w:w="1696" w:type="dxa"/>
          </w:tcPr>
          <w:p w14:paraId="7DED836F" w14:textId="77777777" w:rsidR="0058068B" w:rsidRPr="0075394D" w:rsidRDefault="0058068B" w:rsidP="005A0469">
            <w:pPr>
              <w:pStyle w:val="BodyText"/>
              <w:rPr>
                <w:sz w:val="20"/>
                <w:szCs w:val="20"/>
              </w:rPr>
            </w:pPr>
            <w:r w:rsidRPr="0075394D">
              <w:rPr>
                <w:sz w:val="20"/>
                <w:szCs w:val="20"/>
              </w:rPr>
              <w:t>Jobs are created in the SEP</w:t>
            </w:r>
          </w:p>
        </w:tc>
        <w:tc>
          <w:tcPr>
            <w:tcW w:w="2268" w:type="dxa"/>
          </w:tcPr>
          <w:p w14:paraId="1BD84093" w14:textId="496DA39B"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rFonts w:eastAsia="Public Sans Light" w:cs="Public Sans Light"/>
                <w:color w:val="22272B"/>
                <w:sz w:val="20"/>
                <w:szCs w:val="20"/>
              </w:rPr>
            </w:pPr>
            <w:r w:rsidRPr="0075394D">
              <w:rPr>
                <w:rFonts w:eastAsia="Public Sans Light" w:cs="Public Sans Light"/>
                <w:color w:val="22272B"/>
                <w:sz w:val="20"/>
                <w:szCs w:val="20"/>
              </w:rPr>
              <w:t>Self-reported number of jobs created from offerings and extended trade</w:t>
            </w:r>
          </w:p>
        </w:tc>
        <w:tc>
          <w:tcPr>
            <w:tcW w:w="1418" w:type="dxa"/>
          </w:tcPr>
          <w:p w14:paraId="61A92476" w14:textId="0E2A42D5"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rFonts w:eastAsia="Public Sans Light" w:cs="Public Sans Light"/>
                <w:color w:val="22272B"/>
                <w:sz w:val="20"/>
                <w:szCs w:val="20"/>
              </w:rPr>
              <w:t xml:space="preserve">Survey – </w:t>
            </w:r>
            <w:r w:rsidR="00EE6084" w:rsidRPr="0075394D">
              <w:rPr>
                <w:rFonts w:eastAsia="Public Sans Light" w:cs="Public Sans Light"/>
                <w:color w:val="22272B"/>
                <w:sz w:val="20"/>
                <w:szCs w:val="20"/>
              </w:rPr>
              <w:t>Business</w:t>
            </w:r>
          </w:p>
        </w:tc>
        <w:tc>
          <w:tcPr>
            <w:tcW w:w="2410" w:type="dxa"/>
          </w:tcPr>
          <w:p w14:paraId="30E8B030" w14:textId="0652B0D6" w:rsidR="0058068B" w:rsidRPr="0075394D" w:rsidRDefault="00594235"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Qualitative data</w:t>
            </w:r>
          </w:p>
        </w:tc>
        <w:tc>
          <w:tcPr>
            <w:tcW w:w="1134" w:type="dxa"/>
          </w:tcPr>
          <w:p w14:paraId="69BBFBCC"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Quarterly</w:t>
            </w:r>
          </w:p>
        </w:tc>
        <w:tc>
          <w:tcPr>
            <w:tcW w:w="1559" w:type="dxa"/>
          </w:tcPr>
          <w:p w14:paraId="6BB7C38F"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Council - SEP Precinct Working Group</w:t>
            </w:r>
          </w:p>
        </w:tc>
      </w:tr>
      <w:tr w:rsidR="0058068B" w:rsidRPr="0075394D" w14:paraId="2CF383B5" w14:textId="77777777" w:rsidTr="008056CD">
        <w:tc>
          <w:tcPr>
            <w:cnfStyle w:val="001000000000" w:firstRow="0" w:lastRow="0" w:firstColumn="1" w:lastColumn="0" w:oddVBand="0" w:evenVBand="0" w:oddHBand="0" w:evenHBand="0" w:firstRowFirstColumn="0" w:firstRowLastColumn="0" w:lastRowFirstColumn="0" w:lastRowLastColumn="0"/>
            <w:tcW w:w="1696" w:type="dxa"/>
          </w:tcPr>
          <w:p w14:paraId="4F6B35D0" w14:textId="77777777" w:rsidR="0058068B" w:rsidRPr="0075394D" w:rsidRDefault="0058068B" w:rsidP="005A0469">
            <w:pPr>
              <w:pStyle w:val="BodyText"/>
              <w:rPr>
                <w:sz w:val="20"/>
                <w:szCs w:val="20"/>
              </w:rPr>
            </w:pPr>
            <w:r w:rsidRPr="0075394D">
              <w:rPr>
                <w:sz w:val="20"/>
                <w:szCs w:val="20"/>
              </w:rPr>
              <w:t>Businesses within the SEP feel value from the SEP</w:t>
            </w:r>
          </w:p>
        </w:tc>
        <w:tc>
          <w:tcPr>
            <w:tcW w:w="2268" w:type="dxa"/>
          </w:tcPr>
          <w:p w14:paraId="5EFC5B74" w14:textId="255A63A3"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rFonts w:eastAsia="Public Sans Light" w:cs="Public Sans Light"/>
                <w:color w:val="22272B"/>
                <w:sz w:val="20"/>
                <w:szCs w:val="20"/>
              </w:rPr>
            </w:pPr>
            <w:r w:rsidRPr="0075394D">
              <w:rPr>
                <w:rFonts w:eastAsia="Public Sans Light" w:cs="Public Sans Light"/>
                <w:color w:val="22272B"/>
                <w:sz w:val="20"/>
                <w:szCs w:val="20"/>
              </w:rPr>
              <w:t xml:space="preserve">Self-reported value of investment attraction </w:t>
            </w:r>
            <w:r w:rsidR="00EE6084" w:rsidRPr="0075394D">
              <w:rPr>
                <w:rFonts w:eastAsia="Public Sans Light" w:cs="Public Sans Light"/>
                <w:color w:val="22272B"/>
                <w:sz w:val="20"/>
                <w:szCs w:val="20"/>
              </w:rPr>
              <w:t>and collaboration</w:t>
            </w:r>
            <w:r w:rsidR="00C0580E" w:rsidRPr="0075394D">
              <w:rPr>
                <w:rFonts w:eastAsia="Public Sans Light" w:cs="Public Sans Light"/>
                <w:color w:val="22272B"/>
                <w:sz w:val="20"/>
                <w:szCs w:val="20"/>
              </w:rPr>
              <w:t>s</w:t>
            </w:r>
            <w:r w:rsidR="00594235" w:rsidRPr="0075394D">
              <w:rPr>
                <w:rFonts w:eastAsia="Public Sans Light" w:cs="Public Sans Light"/>
                <w:color w:val="22272B"/>
                <w:sz w:val="20"/>
                <w:szCs w:val="20"/>
              </w:rPr>
              <w:t xml:space="preserve"> </w:t>
            </w:r>
          </w:p>
        </w:tc>
        <w:tc>
          <w:tcPr>
            <w:tcW w:w="1418" w:type="dxa"/>
          </w:tcPr>
          <w:p w14:paraId="3F051A06" w14:textId="17AD1838"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rFonts w:eastAsia="Public Sans Light" w:cs="Public Sans Light"/>
                <w:color w:val="22272B"/>
                <w:sz w:val="20"/>
                <w:szCs w:val="20"/>
              </w:rPr>
              <w:t xml:space="preserve">Survey – </w:t>
            </w:r>
            <w:r w:rsidR="00EE6084" w:rsidRPr="0075394D">
              <w:rPr>
                <w:rFonts w:eastAsia="Public Sans Light" w:cs="Public Sans Light"/>
                <w:color w:val="22272B"/>
                <w:sz w:val="20"/>
                <w:szCs w:val="20"/>
              </w:rPr>
              <w:t>Business</w:t>
            </w:r>
          </w:p>
        </w:tc>
        <w:tc>
          <w:tcPr>
            <w:tcW w:w="2410" w:type="dxa"/>
          </w:tcPr>
          <w:p w14:paraId="41C41C97" w14:textId="7CB02DC9"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Qualitative data</w:t>
            </w:r>
          </w:p>
        </w:tc>
        <w:tc>
          <w:tcPr>
            <w:tcW w:w="1134" w:type="dxa"/>
          </w:tcPr>
          <w:p w14:paraId="1B89A07A"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Quarterly</w:t>
            </w:r>
          </w:p>
        </w:tc>
        <w:tc>
          <w:tcPr>
            <w:tcW w:w="1559" w:type="dxa"/>
          </w:tcPr>
          <w:p w14:paraId="09DE3713" w14:textId="77777777" w:rsidR="0058068B" w:rsidRPr="0075394D" w:rsidRDefault="0058068B" w:rsidP="005A0469">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Council - SEP Precinct Working Group</w:t>
            </w:r>
          </w:p>
        </w:tc>
      </w:tr>
    </w:tbl>
    <w:p w14:paraId="52256D1C" w14:textId="77777777" w:rsidR="000B7DF3" w:rsidRPr="0075394D" w:rsidRDefault="000B7DF3" w:rsidP="000B7DF3">
      <w:pPr>
        <w:pStyle w:val="Heading3"/>
        <w:rPr>
          <w:rFonts w:asciiTheme="minorHAnsi" w:hAnsiTheme="minorHAnsi"/>
        </w:rPr>
      </w:pPr>
      <w:r w:rsidRPr="0075394D">
        <w:rPr>
          <w:rFonts w:asciiTheme="minorHAnsi" w:hAnsiTheme="minorHAnsi"/>
        </w:rPr>
        <w:t>SEP Evaluation Reporting</w:t>
      </w:r>
    </w:p>
    <w:p w14:paraId="75432BA7" w14:textId="79386944" w:rsidR="000B7DF3" w:rsidRPr="0075394D" w:rsidRDefault="000B7DF3" w:rsidP="000B7DF3">
      <w:pPr>
        <w:pStyle w:val="BodyText"/>
      </w:pPr>
      <w:r w:rsidRPr="0075394D">
        <w:t>An example of reporting outputs that could be produced for a SEP to monitor and evaluate its impacts is outlined below.</w:t>
      </w:r>
    </w:p>
    <w:tbl>
      <w:tblPr>
        <w:tblStyle w:val="GridTable1Light-Accent5"/>
        <w:tblW w:w="4935" w:type="pct"/>
        <w:tblLook w:val="04A0" w:firstRow="1" w:lastRow="0" w:firstColumn="1" w:lastColumn="0" w:noHBand="0" w:noVBand="1"/>
      </w:tblPr>
      <w:tblGrid>
        <w:gridCol w:w="2545"/>
        <w:gridCol w:w="7516"/>
      </w:tblGrid>
      <w:tr w:rsidR="000B7DF3" w:rsidRPr="0075394D" w14:paraId="47E9763D" w14:textId="77777777" w:rsidTr="001F342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65" w:type="pct"/>
            <w:shd w:val="clear" w:color="auto" w:fill="9999FF"/>
          </w:tcPr>
          <w:p w14:paraId="0059B8A3" w14:textId="77777777" w:rsidR="000B7DF3" w:rsidRPr="0075394D" w:rsidRDefault="000B7DF3">
            <w:pPr>
              <w:pStyle w:val="BodyText"/>
              <w:rPr>
                <w:sz w:val="20"/>
                <w:szCs w:val="20"/>
              </w:rPr>
            </w:pPr>
            <w:r w:rsidRPr="0075394D">
              <w:rPr>
                <w:sz w:val="20"/>
                <w:szCs w:val="20"/>
              </w:rPr>
              <w:t>Output</w:t>
            </w:r>
          </w:p>
        </w:tc>
        <w:tc>
          <w:tcPr>
            <w:tcW w:w="3735" w:type="pct"/>
            <w:shd w:val="clear" w:color="auto" w:fill="9999FF"/>
          </w:tcPr>
          <w:p w14:paraId="0D0D079B" w14:textId="77777777" w:rsidR="000B7DF3" w:rsidRPr="0075394D" w:rsidRDefault="000B7DF3">
            <w:pPr>
              <w:pStyle w:val="BodyText"/>
              <w:cnfStyle w:val="100000000000" w:firstRow="1" w:lastRow="0" w:firstColumn="0" w:lastColumn="0" w:oddVBand="0" w:evenVBand="0" w:oddHBand="0" w:evenHBand="0" w:firstRowFirstColumn="0" w:firstRowLastColumn="0" w:lastRowFirstColumn="0" w:lastRowLastColumn="0"/>
              <w:rPr>
                <w:sz w:val="20"/>
                <w:szCs w:val="20"/>
              </w:rPr>
            </w:pPr>
            <w:r w:rsidRPr="0075394D">
              <w:rPr>
                <w:sz w:val="20"/>
                <w:szCs w:val="20"/>
              </w:rPr>
              <w:t>Description</w:t>
            </w:r>
          </w:p>
        </w:tc>
      </w:tr>
      <w:tr w:rsidR="000B7DF3" w:rsidRPr="0075394D" w14:paraId="54A78273" w14:textId="77777777" w:rsidTr="001F3420">
        <w:tc>
          <w:tcPr>
            <w:cnfStyle w:val="001000000000" w:firstRow="0" w:lastRow="0" w:firstColumn="1" w:lastColumn="0" w:oddVBand="0" w:evenVBand="0" w:oddHBand="0" w:evenHBand="0" w:firstRowFirstColumn="0" w:firstRowLastColumn="0" w:lastRowFirstColumn="0" w:lastRowLastColumn="0"/>
            <w:tcW w:w="1265" w:type="pct"/>
          </w:tcPr>
          <w:p w14:paraId="6269DB77" w14:textId="77777777" w:rsidR="000B7DF3" w:rsidRPr="0075394D" w:rsidRDefault="000B7DF3">
            <w:pPr>
              <w:pStyle w:val="BodyText"/>
              <w:rPr>
                <w:sz w:val="20"/>
                <w:szCs w:val="20"/>
              </w:rPr>
            </w:pPr>
            <w:r w:rsidRPr="0075394D">
              <w:rPr>
                <w:sz w:val="20"/>
                <w:szCs w:val="20"/>
              </w:rPr>
              <w:t>Monitoring reports</w:t>
            </w:r>
          </w:p>
        </w:tc>
        <w:tc>
          <w:tcPr>
            <w:tcW w:w="3735" w:type="pct"/>
          </w:tcPr>
          <w:p w14:paraId="12154291" w14:textId="3A95AB79" w:rsidR="000B7DF3" w:rsidRPr="0075394D" w:rsidRDefault="000B7DF3">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 xml:space="preserve">To provide a snapshot of uptake, awareness, and indications of impact of </w:t>
            </w:r>
            <w:r w:rsidR="00320C27" w:rsidRPr="0075394D">
              <w:rPr>
                <w:sz w:val="20"/>
                <w:szCs w:val="20"/>
              </w:rPr>
              <w:t xml:space="preserve">the </w:t>
            </w:r>
            <w:r w:rsidR="00BB5C51" w:rsidRPr="0075394D">
              <w:rPr>
                <w:sz w:val="20"/>
                <w:szCs w:val="20"/>
              </w:rPr>
              <w:t xml:space="preserve">SEP </w:t>
            </w:r>
            <w:r w:rsidRPr="0075394D">
              <w:rPr>
                <w:sz w:val="20"/>
                <w:szCs w:val="20"/>
              </w:rPr>
              <w:t xml:space="preserve">based on </w:t>
            </w:r>
            <w:r w:rsidR="00A21AF5" w:rsidRPr="0075394D">
              <w:rPr>
                <w:sz w:val="20"/>
                <w:szCs w:val="20"/>
              </w:rPr>
              <w:t xml:space="preserve">monitoring </w:t>
            </w:r>
            <w:r w:rsidRPr="0075394D">
              <w:rPr>
                <w:sz w:val="20"/>
                <w:szCs w:val="20"/>
              </w:rPr>
              <w:t xml:space="preserve">data and information </w:t>
            </w:r>
          </w:p>
        </w:tc>
      </w:tr>
      <w:tr w:rsidR="000B7DF3" w:rsidRPr="0075394D" w14:paraId="7897B388" w14:textId="77777777" w:rsidTr="001F3420">
        <w:trPr>
          <w:trHeight w:val="410"/>
        </w:trPr>
        <w:tc>
          <w:tcPr>
            <w:cnfStyle w:val="001000000000" w:firstRow="0" w:lastRow="0" w:firstColumn="1" w:lastColumn="0" w:oddVBand="0" w:evenVBand="0" w:oddHBand="0" w:evenHBand="0" w:firstRowFirstColumn="0" w:firstRowLastColumn="0" w:lastRowFirstColumn="0" w:lastRowLastColumn="0"/>
            <w:tcW w:w="1265" w:type="pct"/>
          </w:tcPr>
          <w:p w14:paraId="39446472" w14:textId="77777777" w:rsidR="000B7DF3" w:rsidRPr="0075394D" w:rsidRDefault="000B7DF3">
            <w:pPr>
              <w:pStyle w:val="BodyText"/>
              <w:rPr>
                <w:sz w:val="20"/>
                <w:szCs w:val="20"/>
              </w:rPr>
            </w:pPr>
            <w:r w:rsidRPr="0075394D">
              <w:rPr>
                <w:sz w:val="20"/>
                <w:szCs w:val="20"/>
              </w:rPr>
              <w:t>Process evaluation report</w:t>
            </w:r>
          </w:p>
        </w:tc>
        <w:tc>
          <w:tcPr>
            <w:tcW w:w="3735" w:type="pct"/>
          </w:tcPr>
          <w:p w14:paraId="0FCE4E1F" w14:textId="1AE017F4" w:rsidR="000B7DF3" w:rsidRPr="0075394D" w:rsidRDefault="000B7DF3">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To identify learnings that support the improvement of the</w:t>
            </w:r>
            <w:r w:rsidR="00F979E6" w:rsidRPr="0075394D">
              <w:rPr>
                <w:sz w:val="20"/>
                <w:szCs w:val="20"/>
              </w:rPr>
              <w:t xml:space="preserve"> council</w:t>
            </w:r>
            <w:r w:rsidRPr="0075394D">
              <w:rPr>
                <w:sz w:val="20"/>
                <w:szCs w:val="20"/>
              </w:rPr>
              <w:t xml:space="preserve"> delivery of </w:t>
            </w:r>
            <w:r w:rsidR="00F979E6" w:rsidRPr="0075394D">
              <w:rPr>
                <w:sz w:val="20"/>
                <w:szCs w:val="20"/>
              </w:rPr>
              <w:t>SEP related activities</w:t>
            </w:r>
            <w:r w:rsidRPr="0075394D">
              <w:rPr>
                <w:sz w:val="20"/>
                <w:szCs w:val="20"/>
              </w:rPr>
              <w:t>. Improving program delivery will help ensure that desired outcomes occur</w:t>
            </w:r>
            <w:r w:rsidR="009366EF" w:rsidRPr="0075394D">
              <w:rPr>
                <w:sz w:val="20"/>
                <w:szCs w:val="20"/>
              </w:rPr>
              <w:t xml:space="preserve"> for the target groups. </w:t>
            </w:r>
          </w:p>
        </w:tc>
      </w:tr>
      <w:tr w:rsidR="000B7DF3" w:rsidRPr="0075394D" w14:paraId="66881A15" w14:textId="77777777" w:rsidTr="001F3420">
        <w:tc>
          <w:tcPr>
            <w:cnfStyle w:val="001000000000" w:firstRow="0" w:lastRow="0" w:firstColumn="1" w:lastColumn="0" w:oddVBand="0" w:evenVBand="0" w:oddHBand="0" w:evenHBand="0" w:firstRowFirstColumn="0" w:firstRowLastColumn="0" w:lastRowFirstColumn="0" w:lastRowLastColumn="0"/>
            <w:tcW w:w="1265" w:type="pct"/>
          </w:tcPr>
          <w:p w14:paraId="6ECF520D" w14:textId="77777777" w:rsidR="000B7DF3" w:rsidRPr="0075394D" w:rsidRDefault="000B7DF3">
            <w:pPr>
              <w:pStyle w:val="BodyText"/>
              <w:rPr>
                <w:sz w:val="20"/>
                <w:szCs w:val="20"/>
              </w:rPr>
            </w:pPr>
            <w:r w:rsidRPr="0075394D">
              <w:rPr>
                <w:sz w:val="20"/>
                <w:szCs w:val="20"/>
              </w:rPr>
              <w:t>Outcome evaluation report</w:t>
            </w:r>
          </w:p>
        </w:tc>
        <w:tc>
          <w:tcPr>
            <w:tcW w:w="3735" w:type="pct"/>
          </w:tcPr>
          <w:p w14:paraId="228BC16C" w14:textId="74EFB414" w:rsidR="000B7DF3" w:rsidRPr="0075394D" w:rsidRDefault="000B7DF3">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 xml:space="preserve">To examine if and how </w:t>
            </w:r>
            <w:r w:rsidR="009366EF" w:rsidRPr="0075394D">
              <w:rPr>
                <w:sz w:val="20"/>
                <w:szCs w:val="20"/>
              </w:rPr>
              <w:t>the SEP</w:t>
            </w:r>
            <w:r w:rsidRPr="0075394D">
              <w:rPr>
                <w:sz w:val="20"/>
                <w:szCs w:val="20"/>
              </w:rPr>
              <w:t xml:space="preserve"> lead</w:t>
            </w:r>
            <w:r w:rsidR="009366EF" w:rsidRPr="0075394D">
              <w:rPr>
                <w:sz w:val="20"/>
                <w:szCs w:val="20"/>
              </w:rPr>
              <w:t>s</w:t>
            </w:r>
            <w:r w:rsidRPr="0075394D">
              <w:rPr>
                <w:sz w:val="20"/>
                <w:szCs w:val="20"/>
              </w:rPr>
              <w:t xml:space="preserve"> to </w:t>
            </w:r>
            <w:r w:rsidR="00185F29" w:rsidRPr="0075394D">
              <w:rPr>
                <w:sz w:val="20"/>
                <w:szCs w:val="20"/>
              </w:rPr>
              <w:t xml:space="preserve">the </w:t>
            </w:r>
            <w:r w:rsidRPr="0075394D">
              <w:rPr>
                <w:sz w:val="20"/>
                <w:szCs w:val="20"/>
              </w:rPr>
              <w:t xml:space="preserve">intended </w:t>
            </w:r>
            <w:r w:rsidR="00EF12C4" w:rsidRPr="0075394D">
              <w:rPr>
                <w:sz w:val="20"/>
                <w:szCs w:val="20"/>
              </w:rPr>
              <w:t xml:space="preserve">and any potential unintended </w:t>
            </w:r>
            <w:r w:rsidRPr="0075394D">
              <w:rPr>
                <w:sz w:val="20"/>
                <w:szCs w:val="20"/>
              </w:rPr>
              <w:t>outcomes and to quantify the extent of any change</w:t>
            </w:r>
          </w:p>
        </w:tc>
      </w:tr>
    </w:tbl>
    <w:p w14:paraId="5F252A58" w14:textId="3A89DA8A" w:rsidR="0058068B" w:rsidRPr="0075394D" w:rsidRDefault="0058068B" w:rsidP="0058068B">
      <w:pPr>
        <w:pStyle w:val="Heading3"/>
        <w:rPr>
          <w:rFonts w:asciiTheme="minorHAnsi" w:hAnsiTheme="minorHAnsi"/>
        </w:rPr>
      </w:pPr>
      <w:r w:rsidRPr="0075394D">
        <w:rPr>
          <w:rFonts w:asciiTheme="minorHAnsi" w:hAnsiTheme="minorHAnsi"/>
        </w:rPr>
        <w:lastRenderedPageBreak/>
        <w:t>Sample</w:t>
      </w:r>
      <w:r w:rsidR="002332AE" w:rsidRPr="0075394D">
        <w:rPr>
          <w:rFonts w:asciiTheme="minorHAnsi" w:hAnsiTheme="minorHAnsi"/>
        </w:rPr>
        <w:t xml:space="preserve"> SEP</w:t>
      </w:r>
      <w:r w:rsidRPr="0075394D">
        <w:rPr>
          <w:rFonts w:asciiTheme="minorHAnsi" w:hAnsiTheme="minorHAnsi"/>
        </w:rPr>
        <w:t xml:space="preserve"> evaluation framework</w:t>
      </w:r>
    </w:p>
    <w:tbl>
      <w:tblPr>
        <w:tblStyle w:val="GridTable1Light"/>
        <w:tblW w:w="0" w:type="auto"/>
        <w:tblLook w:val="04A0" w:firstRow="1" w:lastRow="0" w:firstColumn="1" w:lastColumn="0" w:noHBand="0" w:noVBand="1"/>
      </w:tblPr>
      <w:tblGrid>
        <w:gridCol w:w="2547"/>
        <w:gridCol w:w="7647"/>
      </w:tblGrid>
      <w:tr w:rsidR="002A385E" w:rsidRPr="0075394D" w14:paraId="5809E4DB" w14:textId="77777777" w:rsidTr="008A655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47" w:type="dxa"/>
            <w:shd w:val="clear" w:color="auto" w:fill="9999FF"/>
          </w:tcPr>
          <w:p w14:paraId="5216ADE9" w14:textId="274D0978" w:rsidR="002A385E" w:rsidRPr="0075394D" w:rsidRDefault="002A385E" w:rsidP="0058068B">
            <w:pPr>
              <w:pStyle w:val="BodyText"/>
              <w:rPr>
                <w:b w:val="0"/>
                <w:bCs w:val="0"/>
                <w:sz w:val="20"/>
                <w:szCs w:val="20"/>
              </w:rPr>
            </w:pPr>
            <w:r w:rsidRPr="0075394D">
              <w:rPr>
                <w:sz w:val="20"/>
                <w:szCs w:val="20"/>
              </w:rPr>
              <w:t>Review period</w:t>
            </w:r>
          </w:p>
        </w:tc>
        <w:tc>
          <w:tcPr>
            <w:tcW w:w="7647" w:type="dxa"/>
            <w:shd w:val="clear" w:color="auto" w:fill="9999FF"/>
          </w:tcPr>
          <w:p w14:paraId="4B1AA3C7" w14:textId="7CABE2C5" w:rsidR="002A385E" w:rsidRPr="0075394D" w:rsidRDefault="00B5363D" w:rsidP="0058068B">
            <w:pPr>
              <w:pStyle w:val="BodyText"/>
              <w:cnfStyle w:val="100000000000" w:firstRow="1" w:lastRow="0" w:firstColumn="0" w:lastColumn="0" w:oddVBand="0" w:evenVBand="0" w:oddHBand="0" w:evenHBand="0" w:firstRowFirstColumn="0" w:firstRowLastColumn="0" w:lastRowFirstColumn="0" w:lastRowLastColumn="0"/>
              <w:rPr>
                <w:sz w:val="20"/>
                <w:szCs w:val="20"/>
              </w:rPr>
            </w:pPr>
            <w:r w:rsidRPr="0075394D">
              <w:rPr>
                <w:sz w:val="20"/>
                <w:szCs w:val="20"/>
              </w:rPr>
              <w:t xml:space="preserve">Timeframe </w:t>
            </w:r>
            <w:r w:rsidR="002A385E" w:rsidRPr="0075394D">
              <w:rPr>
                <w:sz w:val="20"/>
                <w:szCs w:val="20"/>
              </w:rPr>
              <w:t>e.g. every 6 months</w:t>
            </w:r>
          </w:p>
        </w:tc>
      </w:tr>
      <w:tr w:rsidR="002A385E" w:rsidRPr="0075394D" w14:paraId="525C7911" w14:textId="77777777" w:rsidTr="008A6551">
        <w:tc>
          <w:tcPr>
            <w:cnfStyle w:val="001000000000" w:firstRow="0" w:lastRow="0" w:firstColumn="1" w:lastColumn="0" w:oddVBand="0" w:evenVBand="0" w:oddHBand="0" w:evenHBand="0" w:firstRowFirstColumn="0" w:firstRowLastColumn="0" w:lastRowFirstColumn="0" w:lastRowLastColumn="0"/>
            <w:tcW w:w="2547" w:type="dxa"/>
          </w:tcPr>
          <w:p w14:paraId="040DC797" w14:textId="1CD7AB40" w:rsidR="002A385E" w:rsidRPr="0075394D" w:rsidRDefault="002A385E" w:rsidP="0058068B">
            <w:pPr>
              <w:pStyle w:val="BodyText"/>
              <w:rPr>
                <w:b w:val="0"/>
                <w:bCs w:val="0"/>
                <w:sz w:val="20"/>
                <w:szCs w:val="20"/>
              </w:rPr>
            </w:pPr>
            <w:r w:rsidRPr="0075394D">
              <w:rPr>
                <w:sz w:val="20"/>
                <w:szCs w:val="20"/>
              </w:rPr>
              <w:t>Inputs</w:t>
            </w:r>
          </w:p>
        </w:tc>
        <w:tc>
          <w:tcPr>
            <w:tcW w:w="7647" w:type="dxa"/>
          </w:tcPr>
          <w:p w14:paraId="0931B0E8" w14:textId="07B1366E" w:rsidR="002A385E" w:rsidRPr="0075394D" w:rsidRDefault="00B5363D" w:rsidP="0058068B">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L</w:t>
            </w:r>
            <w:r w:rsidR="002A385E" w:rsidRPr="0075394D">
              <w:rPr>
                <w:sz w:val="20"/>
                <w:szCs w:val="20"/>
              </w:rPr>
              <w:t>egislation, funding, governance, monitoring and reporting</w:t>
            </w:r>
          </w:p>
        </w:tc>
      </w:tr>
      <w:tr w:rsidR="002A385E" w:rsidRPr="0075394D" w14:paraId="0FE66866" w14:textId="77777777" w:rsidTr="008A6551">
        <w:tc>
          <w:tcPr>
            <w:cnfStyle w:val="001000000000" w:firstRow="0" w:lastRow="0" w:firstColumn="1" w:lastColumn="0" w:oddVBand="0" w:evenVBand="0" w:oddHBand="0" w:evenHBand="0" w:firstRowFirstColumn="0" w:firstRowLastColumn="0" w:lastRowFirstColumn="0" w:lastRowLastColumn="0"/>
            <w:tcW w:w="2547" w:type="dxa"/>
          </w:tcPr>
          <w:p w14:paraId="1E40E4F9" w14:textId="6EDC270C" w:rsidR="002A385E" w:rsidRPr="0075394D" w:rsidRDefault="002A385E" w:rsidP="002A385E">
            <w:pPr>
              <w:pStyle w:val="BodyText"/>
              <w:rPr>
                <w:b w:val="0"/>
                <w:bCs w:val="0"/>
                <w:sz w:val="20"/>
                <w:szCs w:val="20"/>
              </w:rPr>
            </w:pPr>
            <w:r w:rsidRPr="0075394D">
              <w:rPr>
                <w:sz w:val="20"/>
                <w:szCs w:val="20"/>
              </w:rPr>
              <w:t>Activities</w:t>
            </w:r>
          </w:p>
          <w:p w14:paraId="409D5146" w14:textId="77777777" w:rsidR="002A385E" w:rsidRPr="0075394D" w:rsidRDefault="002A385E" w:rsidP="0058068B">
            <w:pPr>
              <w:pStyle w:val="BodyText"/>
              <w:rPr>
                <w:b w:val="0"/>
                <w:bCs w:val="0"/>
                <w:sz w:val="20"/>
                <w:szCs w:val="20"/>
              </w:rPr>
            </w:pPr>
          </w:p>
        </w:tc>
        <w:tc>
          <w:tcPr>
            <w:tcW w:w="7647" w:type="dxa"/>
          </w:tcPr>
          <w:p w14:paraId="4B4A8ACA" w14:textId="3481BF80" w:rsidR="00EA3EA4" w:rsidRPr="0075394D" w:rsidRDefault="00B5363D" w:rsidP="0058068B">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M</w:t>
            </w:r>
            <w:r w:rsidR="002A385E" w:rsidRPr="0075394D">
              <w:rPr>
                <w:sz w:val="20"/>
                <w:szCs w:val="20"/>
              </w:rPr>
              <w:t>onitoring venues</w:t>
            </w:r>
          </w:p>
          <w:p w14:paraId="2EF92107" w14:textId="73137925" w:rsidR="00544513" w:rsidRPr="0075394D" w:rsidRDefault="00544513" w:rsidP="0058068B">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Surveys and forums</w:t>
            </w:r>
          </w:p>
          <w:p w14:paraId="39CD313B" w14:textId="4D1B7C5F" w:rsidR="002A385E" w:rsidRPr="0075394D" w:rsidRDefault="00EA3EA4" w:rsidP="0058068B">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P</w:t>
            </w:r>
            <w:r w:rsidR="002A385E" w:rsidRPr="0075394D">
              <w:rPr>
                <w:sz w:val="20"/>
                <w:szCs w:val="20"/>
              </w:rPr>
              <w:t>rovision of resources</w:t>
            </w:r>
          </w:p>
        </w:tc>
      </w:tr>
      <w:tr w:rsidR="002A385E" w:rsidRPr="0075394D" w14:paraId="4499E819" w14:textId="77777777" w:rsidTr="008A6551">
        <w:tc>
          <w:tcPr>
            <w:cnfStyle w:val="001000000000" w:firstRow="0" w:lastRow="0" w:firstColumn="1" w:lastColumn="0" w:oddVBand="0" w:evenVBand="0" w:oddHBand="0" w:evenHBand="0" w:firstRowFirstColumn="0" w:firstRowLastColumn="0" w:lastRowFirstColumn="0" w:lastRowLastColumn="0"/>
            <w:tcW w:w="2547" w:type="dxa"/>
          </w:tcPr>
          <w:p w14:paraId="153FBADE" w14:textId="5C1A6210" w:rsidR="002A385E" w:rsidRPr="0075394D" w:rsidRDefault="002A385E" w:rsidP="0058068B">
            <w:pPr>
              <w:pStyle w:val="BodyText"/>
              <w:rPr>
                <w:b w:val="0"/>
                <w:bCs w:val="0"/>
                <w:sz w:val="20"/>
                <w:szCs w:val="20"/>
              </w:rPr>
            </w:pPr>
            <w:r w:rsidRPr="0075394D">
              <w:rPr>
                <w:sz w:val="20"/>
                <w:szCs w:val="20"/>
              </w:rPr>
              <w:t>Outputs</w:t>
            </w:r>
          </w:p>
        </w:tc>
        <w:tc>
          <w:tcPr>
            <w:tcW w:w="7647" w:type="dxa"/>
          </w:tcPr>
          <w:p w14:paraId="6A0437F7" w14:textId="77777777" w:rsidR="002A385E" w:rsidRPr="0075394D" w:rsidRDefault="002A385E" w:rsidP="002A385E">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Compliance inspections</w:t>
            </w:r>
          </w:p>
          <w:p w14:paraId="609D7E59" w14:textId="2C6F3DA0" w:rsidR="00544513" w:rsidRPr="0075394D" w:rsidRDefault="00544513" w:rsidP="002A385E">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Sound-related complaints</w:t>
            </w:r>
          </w:p>
          <w:p w14:paraId="50FAE7C2" w14:textId="3EE3E05D" w:rsidR="002A385E" w:rsidRPr="0075394D" w:rsidRDefault="002A385E" w:rsidP="0058068B">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Monitoring patron activity</w:t>
            </w:r>
          </w:p>
        </w:tc>
      </w:tr>
      <w:tr w:rsidR="002A385E" w:rsidRPr="0075394D" w14:paraId="5BE17B18" w14:textId="77777777" w:rsidTr="008A6551">
        <w:tc>
          <w:tcPr>
            <w:cnfStyle w:val="001000000000" w:firstRow="0" w:lastRow="0" w:firstColumn="1" w:lastColumn="0" w:oddVBand="0" w:evenVBand="0" w:oddHBand="0" w:evenHBand="0" w:firstRowFirstColumn="0" w:firstRowLastColumn="0" w:lastRowFirstColumn="0" w:lastRowLastColumn="0"/>
            <w:tcW w:w="2547" w:type="dxa"/>
          </w:tcPr>
          <w:p w14:paraId="6FCD4010" w14:textId="6C062D4D" w:rsidR="002A385E" w:rsidRPr="0075394D" w:rsidRDefault="002A385E" w:rsidP="0058068B">
            <w:pPr>
              <w:pStyle w:val="BodyText"/>
              <w:rPr>
                <w:b w:val="0"/>
                <w:bCs w:val="0"/>
                <w:sz w:val="20"/>
                <w:szCs w:val="20"/>
              </w:rPr>
            </w:pPr>
            <w:r w:rsidRPr="0075394D">
              <w:rPr>
                <w:sz w:val="20"/>
                <w:szCs w:val="20"/>
              </w:rPr>
              <w:t>Short-term outcomes</w:t>
            </w:r>
          </w:p>
        </w:tc>
        <w:tc>
          <w:tcPr>
            <w:tcW w:w="7647" w:type="dxa"/>
          </w:tcPr>
          <w:p w14:paraId="3725F076" w14:textId="77777777" w:rsidR="002A385E" w:rsidRPr="0075394D" w:rsidRDefault="002A385E" w:rsidP="0058068B">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Venues are compliant with PMP</w:t>
            </w:r>
          </w:p>
          <w:p w14:paraId="4172D7D9" w14:textId="77777777" w:rsidR="00BA72F4" w:rsidRPr="0075394D" w:rsidRDefault="00BA72F4" w:rsidP="0058068B">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Patron safety</w:t>
            </w:r>
          </w:p>
          <w:p w14:paraId="54FAFD2A" w14:textId="77777777" w:rsidR="00BA72F4" w:rsidRPr="0075394D" w:rsidRDefault="00BA72F4" w:rsidP="0058068B">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Diversity in businesses (trading hours)</w:t>
            </w:r>
          </w:p>
          <w:p w14:paraId="4703124A" w14:textId="5EFF9857" w:rsidR="00BA72F4" w:rsidRPr="0075394D" w:rsidRDefault="00BA72F4" w:rsidP="0058068B">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Diversity in businesses (type and use)</w:t>
            </w:r>
          </w:p>
        </w:tc>
      </w:tr>
      <w:tr w:rsidR="002A385E" w:rsidRPr="0075394D" w14:paraId="696A3A88" w14:textId="77777777" w:rsidTr="008A6551">
        <w:tc>
          <w:tcPr>
            <w:cnfStyle w:val="001000000000" w:firstRow="0" w:lastRow="0" w:firstColumn="1" w:lastColumn="0" w:oddVBand="0" w:evenVBand="0" w:oddHBand="0" w:evenHBand="0" w:firstRowFirstColumn="0" w:firstRowLastColumn="0" w:lastRowFirstColumn="0" w:lastRowLastColumn="0"/>
            <w:tcW w:w="2547" w:type="dxa"/>
          </w:tcPr>
          <w:p w14:paraId="73B648AF" w14:textId="58113623" w:rsidR="002A385E" w:rsidRPr="0075394D" w:rsidRDefault="002A385E" w:rsidP="0058068B">
            <w:pPr>
              <w:pStyle w:val="BodyText"/>
              <w:rPr>
                <w:b w:val="0"/>
                <w:bCs w:val="0"/>
                <w:sz w:val="20"/>
                <w:szCs w:val="20"/>
              </w:rPr>
            </w:pPr>
            <w:r w:rsidRPr="0075394D">
              <w:rPr>
                <w:sz w:val="20"/>
                <w:szCs w:val="20"/>
              </w:rPr>
              <w:t>Medium-term outcomes</w:t>
            </w:r>
          </w:p>
        </w:tc>
        <w:tc>
          <w:tcPr>
            <w:tcW w:w="7647" w:type="dxa"/>
          </w:tcPr>
          <w:p w14:paraId="0AD01E13" w14:textId="327F3323" w:rsidR="002A385E" w:rsidRPr="0075394D" w:rsidRDefault="002A385E" w:rsidP="002A385E">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 xml:space="preserve">Increase </w:t>
            </w:r>
            <w:r w:rsidR="00EA3EA4" w:rsidRPr="0075394D">
              <w:rPr>
                <w:sz w:val="20"/>
                <w:szCs w:val="20"/>
              </w:rPr>
              <w:t>in foot traffic between 6pm and 6am</w:t>
            </w:r>
          </w:p>
          <w:p w14:paraId="702F80B9" w14:textId="38C59F0C" w:rsidR="002A385E" w:rsidRPr="0075394D" w:rsidRDefault="002A385E" w:rsidP="0058068B">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 xml:space="preserve">Increase </w:t>
            </w:r>
            <w:r w:rsidR="00544513" w:rsidRPr="0075394D">
              <w:rPr>
                <w:sz w:val="20"/>
                <w:szCs w:val="20"/>
              </w:rPr>
              <w:t xml:space="preserve">in </w:t>
            </w:r>
            <w:r w:rsidR="008C4387" w:rsidRPr="0075394D">
              <w:rPr>
                <w:sz w:val="20"/>
                <w:szCs w:val="20"/>
              </w:rPr>
              <w:t>dedicated live music and performance venues</w:t>
            </w:r>
          </w:p>
        </w:tc>
      </w:tr>
      <w:tr w:rsidR="002A385E" w:rsidRPr="0075394D" w14:paraId="2BD00E25" w14:textId="77777777" w:rsidTr="008A6551">
        <w:tc>
          <w:tcPr>
            <w:cnfStyle w:val="001000000000" w:firstRow="0" w:lastRow="0" w:firstColumn="1" w:lastColumn="0" w:oddVBand="0" w:evenVBand="0" w:oddHBand="0" w:evenHBand="0" w:firstRowFirstColumn="0" w:firstRowLastColumn="0" w:lastRowFirstColumn="0" w:lastRowLastColumn="0"/>
            <w:tcW w:w="2547" w:type="dxa"/>
          </w:tcPr>
          <w:p w14:paraId="526D1658" w14:textId="11AB9756" w:rsidR="002A385E" w:rsidRPr="0075394D" w:rsidRDefault="002A385E" w:rsidP="0058068B">
            <w:pPr>
              <w:pStyle w:val="BodyText"/>
              <w:rPr>
                <w:b w:val="0"/>
                <w:bCs w:val="0"/>
                <w:sz w:val="20"/>
                <w:szCs w:val="20"/>
              </w:rPr>
            </w:pPr>
            <w:r w:rsidRPr="0075394D">
              <w:rPr>
                <w:sz w:val="20"/>
                <w:szCs w:val="20"/>
              </w:rPr>
              <w:t>Performance indicators</w:t>
            </w:r>
          </w:p>
        </w:tc>
        <w:tc>
          <w:tcPr>
            <w:tcW w:w="7647" w:type="dxa"/>
          </w:tcPr>
          <w:p w14:paraId="25C85B84" w14:textId="77777777" w:rsidR="002A385E" w:rsidRPr="0075394D" w:rsidRDefault="002A385E" w:rsidP="002A385E">
            <w:pPr>
              <w:pStyle w:val="ListBullet"/>
              <w:numPr>
                <w:ilvl w:val="0"/>
                <w:numId w:val="0"/>
              </w:numPr>
              <w:ind w:left="357" w:hanging="357"/>
              <w:cnfStyle w:val="000000000000" w:firstRow="0" w:lastRow="0" w:firstColumn="0" w:lastColumn="0" w:oddVBand="0" w:evenVBand="0" w:oddHBand="0" w:evenHBand="0" w:firstRowFirstColumn="0" w:firstRowLastColumn="0" w:lastRowFirstColumn="0" w:lastRowLastColumn="0"/>
              <w:rPr>
                <w:sz w:val="20"/>
              </w:rPr>
            </w:pPr>
            <w:r w:rsidRPr="0075394D">
              <w:rPr>
                <w:sz w:val="20"/>
              </w:rPr>
              <w:t>Crime and incident data</w:t>
            </w:r>
          </w:p>
          <w:p w14:paraId="3AFE462D" w14:textId="42CC67C4" w:rsidR="00EA3EA4" w:rsidRPr="0075394D" w:rsidRDefault="00EA3EA4" w:rsidP="002A385E">
            <w:pPr>
              <w:pStyle w:val="ListBullet"/>
              <w:numPr>
                <w:ilvl w:val="0"/>
                <w:numId w:val="0"/>
              </w:numPr>
              <w:ind w:left="357" w:hanging="357"/>
              <w:cnfStyle w:val="000000000000" w:firstRow="0" w:lastRow="0" w:firstColumn="0" w:lastColumn="0" w:oddVBand="0" w:evenVBand="0" w:oddHBand="0" w:evenHBand="0" w:firstRowFirstColumn="0" w:firstRowLastColumn="0" w:lastRowFirstColumn="0" w:lastRowLastColumn="0"/>
              <w:rPr>
                <w:sz w:val="20"/>
              </w:rPr>
            </w:pPr>
            <w:r w:rsidRPr="0075394D">
              <w:rPr>
                <w:sz w:val="20"/>
              </w:rPr>
              <w:t>Alcohol-related harms data</w:t>
            </w:r>
          </w:p>
          <w:p w14:paraId="126BAED9" w14:textId="06EF655F" w:rsidR="002A385E" w:rsidRPr="0075394D" w:rsidRDefault="00544513" w:rsidP="002A385E">
            <w:pPr>
              <w:pStyle w:val="ListBullet"/>
              <w:numPr>
                <w:ilvl w:val="0"/>
                <w:numId w:val="0"/>
              </w:numPr>
              <w:ind w:left="357" w:hanging="357"/>
              <w:cnfStyle w:val="000000000000" w:firstRow="0" w:lastRow="0" w:firstColumn="0" w:lastColumn="0" w:oddVBand="0" w:evenVBand="0" w:oddHBand="0" w:evenHBand="0" w:firstRowFirstColumn="0" w:firstRowLastColumn="0" w:lastRowFirstColumn="0" w:lastRowLastColumn="0"/>
              <w:rPr>
                <w:sz w:val="20"/>
              </w:rPr>
            </w:pPr>
            <w:r w:rsidRPr="0075394D">
              <w:rPr>
                <w:sz w:val="20"/>
              </w:rPr>
              <w:t>Liquor licence data (such as number of liquor licences issued)</w:t>
            </w:r>
          </w:p>
          <w:p w14:paraId="0CA23B2A" w14:textId="2910A5A2" w:rsidR="002A385E" w:rsidRPr="0075394D" w:rsidRDefault="002A385E" w:rsidP="0058068B">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 xml:space="preserve">Community </w:t>
            </w:r>
            <w:r w:rsidR="00EA3EA4" w:rsidRPr="0075394D">
              <w:rPr>
                <w:sz w:val="20"/>
                <w:szCs w:val="20"/>
              </w:rPr>
              <w:t>feedback</w:t>
            </w:r>
          </w:p>
          <w:p w14:paraId="7E7363FE" w14:textId="6A6ECCB0" w:rsidR="00EA3EA4" w:rsidRPr="0075394D" w:rsidRDefault="00EA3EA4" w:rsidP="0058068B">
            <w:pPr>
              <w:pStyle w:val="BodyText"/>
              <w:cnfStyle w:val="000000000000" w:firstRow="0" w:lastRow="0" w:firstColumn="0" w:lastColumn="0" w:oddVBand="0" w:evenVBand="0" w:oddHBand="0" w:evenHBand="0" w:firstRowFirstColumn="0" w:firstRowLastColumn="0" w:lastRowFirstColumn="0" w:lastRowLastColumn="0"/>
              <w:rPr>
                <w:sz w:val="20"/>
                <w:szCs w:val="20"/>
              </w:rPr>
            </w:pPr>
            <w:r w:rsidRPr="0075394D">
              <w:rPr>
                <w:sz w:val="20"/>
                <w:szCs w:val="20"/>
              </w:rPr>
              <w:t>Business/venue feedback</w:t>
            </w:r>
          </w:p>
        </w:tc>
      </w:tr>
    </w:tbl>
    <w:p w14:paraId="694E9B2A" w14:textId="77777777" w:rsidR="002A385E" w:rsidRPr="0075394D" w:rsidRDefault="002A385E" w:rsidP="002A385E">
      <w:pPr>
        <w:rPr>
          <w:rFonts w:asciiTheme="minorHAnsi" w:hAnsiTheme="minorHAnsi"/>
          <w:lang w:eastAsia="zh-CN"/>
        </w:rPr>
      </w:pPr>
    </w:p>
    <w:p w14:paraId="45BE3B78" w14:textId="7EAF138F" w:rsidR="005024FD" w:rsidRPr="0075394D" w:rsidRDefault="005024FD" w:rsidP="005024FD">
      <w:pPr>
        <w:pStyle w:val="ListBullet"/>
        <w:numPr>
          <w:ilvl w:val="0"/>
          <w:numId w:val="0"/>
        </w:numPr>
        <w:ind w:left="357" w:hanging="357"/>
        <w:rPr>
          <w:sz w:val="18"/>
          <w:szCs w:val="18"/>
        </w:rPr>
      </w:pPr>
    </w:p>
    <w:sectPr w:rsidR="005024FD" w:rsidRPr="0075394D" w:rsidSect="005A0469">
      <w:headerReference w:type="even" r:id="rId12"/>
      <w:headerReference w:type="default" r:id="rId13"/>
      <w:footerReference w:type="even" r:id="rId14"/>
      <w:footerReference w:type="default" r:id="rId15"/>
      <w:headerReference w:type="first" r:id="rId16"/>
      <w:footerReference w:type="first" r:id="rId17"/>
      <w:pgSz w:w="11906" w:h="16838" w:code="9"/>
      <w:pgMar w:top="851" w:right="851" w:bottom="170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80C7DB" w14:textId="77777777" w:rsidR="00B3758B" w:rsidRDefault="00B3758B" w:rsidP="00921FD3">
      <w:r>
        <w:separator/>
      </w:r>
    </w:p>
  </w:endnote>
  <w:endnote w:type="continuationSeparator" w:id="0">
    <w:p w14:paraId="0914B2AB" w14:textId="77777777" w:rsidR="00B3758B" w:rsidRDefault="00B3758B" w:rsidP="00921FD3">
      <w:r>
        <w:continuationSeparator/>
      </w:r>
    </w:p>
  </w:endnote>
  <w:endnote w:type="continuationNotice" w:id="1">
    <w:p w14:paraId="5FB8207E" w14:textId="77777777" w:rsidR="00B3758B" w:rsidRDefault="00B3758B">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2B26F3F8-97A4-4C21-8F55-EC20C4A1ACC5}"/>
    <w:embedBold r:id="rId2" w:fontKey="{EE2FE265-5972-43C9-8E01-F86CCB91C457}"/>
    <w:embedItalic r:id="rId3" w:fontKey="{0AF263B9-06B7-4ECA-AFA3-450354D5D0A5}"/>
    <w:embedBoldItalic r:id="rId4" w:fontKey="{7DC67806-0C09-4B3B-AA95-652E25B55420}"/>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embedRegular r:id="rId5" w:subsetted="1" w:fontKey="{A6DB2E2A-C518-458C-B438-23F408849C69}"/>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embedRegular r:id="rId6" w:fontKey="{4643A732-16DA-4643-9C5C-EE441BDF8ED9}"/>
  </w:font>
  <w:font w:name="ArialMT">
    <w:altName w:val="Arial"/>
    <w:charset w:val="4D"/>
    <w:family w:val="swiss"/>
    <w:pitch w:val="default"/>
    <w:sig w:usb0="00000003" w:usb1="00000000" w:usb2="00000000" w:usb3="00000000" w:csb0="00000001" w:csb1="00000000"/>
  </w:font>
  <w:font w:name="@Yu Gothic UI Light">
    <w:charset w:val="80"/>
    <w:family w:val="swiss"/>
    <w:pitch w:val="variable"/>
    <w:sig w:usb0="E00002FF" w:usb1="2AC7FDFF" w:usb2="00000016" w:usb3="00000000" w:csb0="0002009F" w:csb1="00000000"/>
  </w:font>
  <w:font w:name="Public Sans">
    <w:panose1 w:val="00000000000000000000"/>
    <w:charset w:val="00"/>
    <w:family w:val="auto"/>
    <w:pitch w:val="variable"/>
    <w:sig w:usb0="A00000FF" w:usb1="4000205B" w:usb2="00000000" w:usb3="00000000" w:csb0="0000019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A1A2AE" w14:textId="4DE2D956" w:rsidR="0056253D" w:rsidRDefault="00791674">
    <w:pPr>
      <w:pStyle w:val="Footer"/>
    </w:pPr>
    <w:r>
      <w:rPr>
        <w:noProof/>
      </w:rPr>
      <mc:AlternateContent>
        <mc:Choice Requires="wps">
          <w:drawing>
            <wp:anchor distT="0" distB="0" distL="0" distR="0" simplePos="0" relativeHeight="251658243" behindDoc="0" locked="0" layoutInCell="1" allowOverlap="1" wp14:anchorId="12B89E5F" wp14:editId="65701EE5">
              <wp:simplePos x="635" y="635"/>
              <wp:positionH relativeFrom="page">
                <wp:align>center</wp:align>
              </wp:positionH>
              <wp:positionV relativeFrom="page">
                <wp:align>bottom</wp:align>
              </wp:positionV>
              <wp:extent cx="443865" cy="443865"/>
              <wp:effectExtent l="0" t="0" r="10160" b="0"/>
              <wp:wrapNone/>
              <wp:docPr id="1384280053" name="Text Box 17"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585F966E" w14:textId="661ADF43"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2B89E5F" id="_x0000_t202" coordsize="21600,21600" o:spt="202" path="m,l,21600r21600,l21600,xe">
              <v:stroke joinstyle="miter"/>
              <v:path gradientshapeok="t" o:connecttype="rect"/>
            </v:shapetype>
            <v:shape id="Text Box 17" o:spid="_x0000_s1027" type="#_x0000_t202" alt="OFFICIAL" style="position:absolute;margin-left:0;margin-top:0;width:34.95pt;height:34.95pt;z-index:251658243;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" filled="f" stroked="f">
              <v:textbox style="mso-fit-shape-to-text:t" inset="0,0,0,15pt">
                <w:txbxContent>
                  <w:p w14:paraId="585F966E" w14:textId="661ADF43"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v:textbox>
              <w10:wrap anchorx="page" anchory="page"/>
            </v:shape>
          </w:pict>
        </mc:Fallback>
      </mc:AlternateContent>
    </w:r>
  </w:p>
  <w:p w14:paraId="7441A83B" w14:textId="77777777" w:rsidR="00E55CEE" w:rsidRDefault="00E55CEE"/>
  <w:p w14:paraId="4022E32A" w14:textId="77777777" w:rsidR="00E55CEE" w:rsidRDefault="00E55CE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706B97" w14:textId="4C69476B" w:rsidR="008645D7" w:rsidRPr="00763C24" w:rsidRDefault="00791674" w:rsidP="00997A69">
    <w:pPr>
      <w:pStyle w:val="HeaderFooterSensitivityLabelSpace"/>
    </w:pPr>
    <w:r>
      <w:rPr>
        <w:noProof/>
      </w:rPr>
      <mc:AlternateContent>
        <mc:Choice Requires="wps">
          <w:drawing>
            <wp:anchor distT="0" distB="0" distL="0" distR="0" simplePos="0" relativeHeight="251658244" behindDoc="0" locked="0" layoutInCell="1" allowOverlap="1" wp14:anchorId="7DE5AC82" wp14:editId="09122F18">
              <wp:simplePos x="635" y="635"/>
              <wp:positionH relativeFrom="page">
                <wp:align>center</wp:align>
              </wp:positionH>
              <wp:positionV relativeFrom="page">
                <wp:align>bottom</wp:align>
              </wp:positionV>
              <wp:extent cx="443865" cy="443865"/>
              <wp:effectExtent l="0" t="0" r="10160" b="0"/>
              <wp:wrapNone/>
              <wp:docPr id="1220978328" name="Text Box 18"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04CCB087" w14:textId="11CFD897" w:rsidR="00791674" w:rsidRDefault="00791674" w:rsidP="001A7FAD">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1A7FAD">
                            <w:rPr>
                              <w:rFonts w:ascii="Calibri" w:eastAsia="Calibri" w:hAnsi="Calibri" w:cs="Calibri"/>
                              <w:noProof/>
                              <w:color w:val="FF0000"/>
                              <w:sz w:val="20"/>
                              <w:szCs w:val="20"/>
                            </w:rPr>
                            <w:t xml:space="preserve"> – NOT GOVERNMENT POLICY</w:t>
                          </w:r>
                        </w:p>
                        <w:p w14:paraId="4EF26950" w14:textId="1CC55CB2" w:rsidR="001A7FAD" w:rsidRPr="00791674" w:rsidRDefault="001A7FAD" w:rsidP="001A7FAD">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 xml:space="preserve">This publication is </w:t>
                          </w:r>
                          <w:r w:rsidR="00554FDF">
                            <w:rPr>
                              <w:rFonts w:ascii="Calibri" w:eastAsia="Calibri" w:hAnsi="Calibri" w:cs="Calibri"/>
                              <w:noProof/>
                              <w:color w:val="FF0000"/>
                              <w:sz w:val="20"/>
                              <w:szCs w:val="20"/>
                            </w:rPr>
                            <w:t xml:space="preserve">provided </w:t>
                          </w:r>
                          <w:r>
                            <w:rPr>
                              <w:rFonts w:ascii="Calibri" w:eastAsia="Calibri" w:hAnsi="Calibri" w:cs="Calibri"/>
                              <w:noProof/>
                              <w:color w:val="FF0000"/>
                              <w:sz w:val="20"/>
                              <w:szCs w:val="20"/>
                            </w:rPr>
                            <w:t>for information purposes only.</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DE5AC82" id="_x0000_t202" coordsize="21600,21600" o:spt="202" path="m,l,21600r21600,l21600,xe">
              <v:stroke joinstyle="miter"/>
              <v:path gradientshapeok="t" o:connecttype="rect"/>
            </v:shapetype>
            <v:shape id="Text Box 18" o:spid="_x0000_s1028" type="#_x0000_t202" alt="OFFICIAL" style="position:absolute;margin-left:0;margin-top:0;width:34.95pt;height:34.95pt;z-index:25165824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" filled="f" stroked="f">
              <v:textbox style="mso-fit-shape-to-text:t" inset="0,0,0,15pt">
                <w:txbxContent>
                  <w:p w14:paraId="04CCB087" w14:textId="11CFD897" w:rsidR="00791674" w:rsidRDefault="00791674" w:rsidP="001A7FAD">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1A7FAD">
                      <w:rPr>
                        <w:rFonts w:ascii="Calibri" w:eastAsia="Calibri" w:hAnsi="Calibri" w:cs="Calibri"/>
                        <w:noProof/>
                        <w:color w:val="FF0000"/>
                        <w:sz w:val="20"/>
                        <w:szCs w:val="20"/>
                      </w:rPr>
                      <w:t xml:space="preserve"> – NOT GOVERNMENT POLICY</w:t>
                    </w:r>
                  </w:p>
                  <w:p w14:paraId="4EF26950" w14:textId="1CC55CB2" w:rsidR="001A7FAD" w:rsidRPr="00791674" w:rsidRDefault="001A7FAD" w:rsidP="001A7FAD">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 xml:space="preserve">This publication is </w:t>
                    </w:r>
                    <w:r w:rsidR="00554FDF">
                      <w:rPr>
                        <w:rFonts w:ascii="Calibri" w:eastAsia="Calibri" w:hAnsi="Calibri" w:cs="Calibri"/>
                        <w:noProof/>
                        <w:color w:val="FF0000"/>
                        <w:sz w:val="20"/>
                        <w:szCs w:val="20"/>
                      </w:rPr>
                      <w:t xml:space="preserve">provided </w:t>
                    </w:r>
                    <w:r>
                      <w:rPr>
                        <w:rFonts w:ascii="Calibri" w:eastAsia="Calibri" w:hAnsi="Calibri" w:cs="Calibri"/>
                        <w:noProof/>
                        <w:color w:val="FF0000"/>
                        <w:sz w:val="20"/>
                        <w:szCs w:val="20"/>
                      </w:rPr>
                      <w:t>for information purposes only.</w:t>
                    </w:r>
                  </w:p>
                </w:txbxContent>
              </v:textbox>
              <w10:wrap anchorx="page" anchory="page"/>
            </v:shape>
          </w:pict>
        </mc:Fallback>
      </mc:AlternateContent>
    </w:r>
  </w:p>
  <w:p w14:paraId="4FDC42EA" w14:textId="77777777" w:rsidR="00610A2D" w:rsidRPr="008645D7" w:rsidRDefault="00D20E6C" w:rsidP="00D20E6C">
    <w:pPr>
      <w:pStyle w:val="Footer"/>
    </w:pPr>
    <w:r>
      <w:ptab w:relativeTo="margin" w:alignment="right" w:leader="none"/>
    </w:r>
    <w:r>
      <w:fldChar w:fldCharType="begin"/>
    </w:r>
    <w:r>
      <w:instrText xml:space="preserve"> PAGE   \* MERGEFORMAT </w:instrText>
    </w:r>
    <w:r>
      <w:fldChar w:fldCharType="separate"/>
    </w:r>
    <w:r>
      <w:t>1</w:t>
    </w:r>
    <w:r>
      <w:rPr>
        <w:noProof/>
      </w:rPr>
      <w:fldChar w:fldCharType="end"/>
    </w:r>
  </w:p>
  <w:p w14:paraId="0AB5049D" w14:textId="77777777" w:rsidR="00E55CEE" w:rsidRDefault="00E55CEE"/>
  <w:p w14:paraId="025E6CA5" w14:textId="77777777" w:rsidR="00E55CEE" w:rsidRDefault="00E55CEE"/>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9066D8" w14:textId="1A2B5FC3" w:rsidR="001B58BB" w:rsidRPr="00763C24" w:rsidRDefault="00791674" w:rsidP="001B58BB">
    <w:pPr>
      <w:pStyle w:val="HeaderFooterSensitivityLabelSpace"/>
    </w:pPr>
    <w:r>
      <w:rPr>
        <w:noProof/>
      </w:rPr>
      <mc:AlternateContent>
        <mc:Choice Requires="wps">
          <w:drawing>
            <wp:anchor distT="0" distB="0" distL="0" distR="0" simplePos="0" relativeHeight="251658242" behindDoc="0" locked="0" layoutInCell="1" allowOverlap="1" wp14:anchorId="0D056A26" wp14:editId="36E4A4A5">
              <wp:simplePos x="0" y="0"/>
              <wp:positionH relativeFrom="page">
                <wp:align>center</wp:align>
              </wp:positionH>
              <wp:positionV relativeFrom="page">
                <wp:align>bottom</wp:align>
              </wp:positionV>
              <wp:extent cx="443865" cy="443865"/>
              <wp:effectExtent l="0" t="0" r="10160" b="0"/>
              <wp:wrapNone/>
              <wp:docPr id="1737770386" name="Text Box 1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7BBC3603" w14:textId="380024F7" w:rsidR="00791674" w:rsidRDefault="00791674" w:rsidP="001A7FAD">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1A7FAD">
                            <w:rPr>
                              <w:rFonts w:ascii="Calibri" w:eastAsia="Calibri" w:hAnsi="Calibri" w:cs="Calibri"/>
                              <w:noProof/>
                              <w:color w:val="FF0000"/>
                              <w:sz w:val="20"/>
                              <w:szCs w:val="20"/>
                            </w:rPr>
                            <w:t xml:space="preserve"> – NOT GOVERNMENT POLICY</w:t>
                          </w:r>
                        </w:p>
                        <w:p w14:paraId="519041C8" w14:textId="0D5992B9" w:rsidR="001A7FAD" w:rsidRPr="00791674" w:rsidRDefault="001A7FAD" w:rsidP="001A7FAD">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w:t>
                          </w:r>
                          <w:r w:rsidR="00554FDF">
                            <w:rPr>
                              <w:rFonts w:ascii="Calibri" w:eastAsia="Calibri" w:hAnsi="Calibri" w:cs="Calibri"/>
                              <w:noProof/>
                              <w:color w:val="FF0000"/>
                              <w:sz w:val="20"/>
                              <w:szCs w:val="20"/>
                            </w:rPr>
                            <w:t xml:space="preserve"> provided</w:t>
                          </w:r>
                          <w:r>
                            <w:rPr>
                              <w:rFonts w:ascii="Calibri" w:eastAsia="Calibri" w:hAnsi="Calibri" w:cs="Calibri"/>
                              <w:noProof/>
                              <w:color w:val="FF0000"/>
                              <w:sz w:val="20"/>
                              <w:szCs w:val="20"/>
                            </w:rPr>
                            <w:t xml:space="preserve"> for information purposes only.</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D056A26" id="_x0000_t202" coordsize="21600,21600" o:spt="202" path="m,l,21600r21600,l21600,xe">
              <v:stroke joinstyle="miter"/>
              <v:path gradientshapeok="t" o:connecttype="rect"/>
            </v:shapetype>
            <v:shape id="Text Box 16" o:spid="_x0000_s1030" type="#_x0000_t202" alt="OFFICIAL" style="position:absolute;margin-left:0;margin-top:0;width:34.95pt;height:34.95pt;z-index:25165824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" filled="f" stroked="f">
              <v:textbox style="mso-fit-shape-to-text:t" inset="0,0,0,15pt">
                <w:txbxContent>
                  <w:p w14:paraId="7BBC3603" w14:textId="380024F7" w:rsidR="00791674" w:rsidRDefault="00791674" w:rsidP="001A7FAD">
                    <w:pPr>
                      <w:jc w:val="cente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r w:rsidR="001A7FAD">
                      <w:rPr>
                        <w:rFonts w:ascii="Calibri" w:eastAsia="Calibri" w:hAnsi="Calibri" w:cs="Calibri"/>
                        <w:noProof/>
                        <w:color w:val="FF0000"/>
                        <w:sz w:val="20"/>
                        <w:szCs w:val="20"/>
                      </w:rPr>
                      <w:t xml:space="preserve"> – NOT GOVERNMENT POLICY</w:t>
                    </w:r>
                  </w:p>
                  <w:p w14:paraId="519041C8" w14:textId="0D5992B9" w:rsidR="001A7FAD" w:rsidRPr="00791674" w:rsidRDefault="001A7FAD" w:rsidP="001A7FAD">
                    <w:pPr>
                      <w:jc w:val="center"/>
                      <w:rPr>
                        <w:rFonts w:ascii="Calibri" w:eastAsia="Calibri" w:hAnsi="Calibri" w:cs="Calibri"/>
                        <w:noProof/>
                        <w:color w:val="FF0000"/>
                        <w:sz w:val="20"/>
                        <w:szCs w:val="20"/>
                      </w:rPr>
                    </w:pPr>
                    <w:r>
                      <w:rPr>
                        <w:rFonts w:ascii="Calibri" w:eastAsia="Calibri" w:hAnsi="Calibri" w:cs="Calibri"/>
                        <w:noProof/>
                        <w:color w:val="FF0000"/>
                        <w:sz w:val="20"/>
                        <w:szCs w:val="20"/>
                      </w:rPr>
                      <w:t>This publication is</w:t>
                    </w:r>
                    <w:r w:rsidR="00554FDF">
                      <w:rPr>
                        <w:rFonts w:ascii="Calibri" w:eastAsia="Calibri" w:hAnsi="Calibri" w:cs="Calibri"/>
                        <w:noProof/>
                        <w:color w:val="FF0000"/>
                        <w:sz w:val="20"/>
                        <w:szCs w:val="20"/>
                      </w:rPr>
                      <w:t xml:space="preserve"> provided</w:t>
                    </w:r>
                    <w:r>
                      <w:rPr>
                        <w:rFonts w:ascii="Calibri" w:eastAsia="Calibri" w:hAnsi="Calibri" w:cs="Calibri"/>
                        <w:noProof/>
                        <w:color w:val="FF0000"/>
                        <w:sz w:val="20"/>
                        <w:szCs w:val="20"/>
                      </w:rPr>
                      <w:t xml:space="preserve"> for information purposes only.</w:t>
                    </w:r>
                  </w:p>
                </w:txbxContent>
              </v:textbox>
              <w10:wrap anchorx="page" anchory="page"/>
            </v:shape>
          </w:pict>
        </mc:Fallback>
      </mc:AlternateContent>
    </w:r>
  </w:p>
  <w:p w14:paraId="4DC6433C" w14:textId="2045927E" w:rsidR="001B58BB" w:rsidRPr="001B58BB" w:rsidRDefault="00D20E6C" w:rsidP="00D20E6C">
    <w:pPr>
      <w:pStyle w:val="Footer"/>
    </w:pPr>
    <w:r>
      <w:ptab w:relativeTo="margin" w:alignment="right" w:leader="none"/>
    </w:r>
    <w:r>
      <w:fldChar w:fldCharType="begin"/>
    </w:r>
    <w:r>
      <w:instrText xml:space="preserve"> PAGE   \* MERGEFORMAT </w:instrText>
    </w:r>
    <w:r>
      <w:fldChar w:fldCharType="separate"/>
    </w:r>
    <w:r>
      <w:t>1</w:t>
    </w:r>
    <w:r>
      <w:rPr>
        <w:noProof/>
      </w:rPr>
      <w:fldChar w:fldCharType="end"/>
    </w:r>
  </w:p>
  <w:p w14:paraId="59049452" w14:textId="77777777" w:rsidR="00E55CEE" w:rsidRDefault="00E55CEE"/>
  <w:p w14:paraId="1AF529E5" w14:textId="77777777" w:rsidR="00E55CEE" w:rsidRDefault="00E55CE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1C85BDB" w14:textId="77777777" w:rsidR="00B3758B" w:rsidRDefault="00B3758B" w:rsidP="00921FD3">
      <w:r>
        <w:separator/>
      </w:r>
    </w:p>
  </w:footnote>
  <w:footnote w:type="continuationSeparator" w:id="0">
    <w:p w14:paraId="294BA474" w14:textId="77777777" w:rsidR="00B3758B" w:rsidRDefault="00B3758B" w:rsidP="00921FD3">
      <w:r>
        <w:continuationSeparator/>
      </w:r>
    </w:p>
  </w:footnote>
  <w:footnote w:type="continuationNotice" w:id="1">
    <w:p w14:paraId="0D545C50" w14:textId="77777777" w:rsidR="00B3758B" w:rsidRDefault="00B3758B">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BFC74F" w14:textId="7177138E" w:rsidR="0056253D" w:rsidRDefault="00791674">
    <w:pPr>
      <w:pStyle w:val="Header"/>
    </w:pPr>
    <w:r>
      <w:rPr>
        <w:noProof/>
      </w:rPr>
      <mc:AlternateContent>
        <mc:Choice Requires="wps">
          <w:drawing>
            <wp:anchor distT="0" distB="0" distL="0" distR="0" simplePos="0" relativeHeight="251658240" behindDoc="0" locked="0" layoutInCell="1" allowOverlap="1" wp14:anchorId="00362B92" wp14:editId="522DE285">
              <wp:simplePos x="635" y="635"/>
              <wp:positionH relativeFrom="page">
                <wp:align>center</wp:align>
              </wp:positionH>
              <wp:positionV relativeFrom="page">
                <wp:align>top</wp:align>
              </wp:positionV>
              <wp:extent cx="443865" cy="443865"/>
              <wp:effectExtent l="0" t="0" r="10160" b="10160"/>
              <wp:wrapNone/>
              <wp:docPr id="621334724" name="Text Box 1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55CCA22D" w14:textId="26768B3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0362B92" id="_x0000_t202" coordsize="21600,21600" o:spt="202" path="m,l,21600r21600,l21600,xe">
              <v:stroke joinstyle="miter"/>
              <v:path gradientshapeok="t" o:connecttype="rect"/>
            </v:shapetype>
            <v:shape id="Text Box 14" o:spid="_x0000_s1026"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" filled="f" stroked="f">
              <v:textbox style="mso-fit-shape-to-text:t" inset="0,15pt,0,0">
                <w:txbxContent>
                  <w:p w14:paraId="55CCA22D" w14:textId="26768B37" w:rsidR="00791674" w:rsidRPr="00791674" w:rsidRDefault="00791674" w:rsidP="00791674">
                    <w:pPr>
                      <w:rPr>
                        <w:rFonts w:ascii="Calibri" w:eastAsia="Calibri" w:hAnsi="Calibri" w:cs="Calibri"/>
                        <w:noProof/>
                        <w:color w:val="FF0000"/>
                        <w:sz w:val="20"/>
                        <w:szCs w:val="20"/>
                      </w:rPr>
                    </w:pPr>
                    <w:r w:rsidRPr="00791674">
                      <w:rPr>
                        <w:rFonts w:ascii="Calibri" w:eastAsia="Calibri" w:hAnsi="Calibri" w:cs="Calibri"/>
                        <w:noProof/>
                        <w:color w:val="FF0000"/>
                        <w:sz w:val="20"/>
                        <w:szCs w:val="20"/>
                      </w:rPr>
                      <w:t>OFFICIAL</w:t>
                    </w:r>
                  </w:p>
                </w:txbxContent>
              </v:textbox>
              <w10:wrap anchorx="page" anchory="page"/>
            </v:shape>
          </w:pict>
        </mc:Fallback>
      </mc:AlternateContent>
    </w:r>
  </w:p>
  <w:p w14:paraId="3564ECBD" w14:textId="77777777" w:rsidR="00E55CEE" w:rsidRDefault="00E55CEE"/>
  <w:p w14:paraId="0AC72B2D" w14:textId="77777777" w:rsidR="00E55CEE" w:rsidRDefault="00E55CE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756644" w14:textId="63B9C2F7" w:rsidR="0056253D" w:rsidRDefault="0056253D">
    <w:pPr>
      <w:pStyle w:val="Header"/>
    </w:pPr>
  </w:p>
  <w:p w14:paraId="455715BE" w14:textId="77777777" w:rsidR="00E55CEE" w:rsidRDefault="00E55CEE"/>
  <w:p w14:paraId="2F2FDF24" w14:textId="77777777" w:rsidR="00E55CEE" w:rsidRDefault="00E55CEE"/>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3FA4DF" w14:textId="4C811A2F" w:rsidR="00DD578A" w:rsidRPr="00B41773" w:rsidRDefault="00B41773" w:rsidP="00B41773">
    <w:pPr>
      <w:pStyle w:val="Header"/>
    </w:pPr>
    <w:r>
      <w:rPr>
        <w:noProof/>
      </w:rPr>
      <mc:AlternateContent>
        <mc:Choice Requires="wps">
          <w:drawing>
            <wp:anchor distT="0" distB="0" distL="0" distR="0" simplePos="0" relativeHeight="251658248" behindDoc="0" locked="0" layoutInCell="1" allowOverlap="1" wp14:anchorId="581DF5A7" wp14:editId="1065FC42">
              <wp:simplePos x="0" y="0"/>
              <wp:positionH relativeFrom="page">
                <wp:align>center</wp:align>
              </wp:positionH>
              <wp:positionV relativeFrom="page">
                <wp:align>top</wp:align>
              </wp:positionV>
              <wp:extent cx="443865" cy="443865"/>
              <wp:effectExtent l="0" t="0" r="10160" b="10160"/>
              <wp:wrapNone/>
              <wp:docPr id="209825618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a:effectLst/>
                    </wps:spPr>
                    <wps:txbx>
                      <w:txbxContent>
                        <w:p w14:paraId="5D9AE687" w14:textId="77777777" w:rsidR="00B41773" w:rsidRPr="0066415F" w:rsidRDefault="00B41773" w:rsidP="00B41773">
                          <w:pPr>
                            <w:rPr>
                              <w:noProof/>
                            </w:rPr>
                          </w:pPr>
                          <w:r w:rsidRPr="0066415F">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581DF5A7" id="_x0000_t202" coordsize="21600,21600" o:spt="202" path="m,l,21600r21600,l21600,xe">
              <v:stroke joinstyle="miter"/>
              <v:path gradientshapeok="t" o:connecttype="rect"/>
            </v:shapetype>
            <v:shape id="Text Box 1" o:spid="_x0000_s1029" type="#_x0000_t202" alt="OFFICIAL" style="position:absolute;margin-left:0;margin-top:0;width:34.95pt;height:34.95pt;z-index:25165824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" filled="f" stroked="f">
              <v:textbox style="mso-fit-shape-to-text:t" inset="0,15pt,0,0">
                <w:txbxContent>
                  <w:p w14:paraId="5D9AE687" w14:textId="77777777" w:rsidR="00B41773" w:rsidRPr="0066415F" w:rsidRDefault="00B41773" w:rsidP="00B41773">
                    <w:pPr>
                      <w:rPr>
                        <w:noProof/>
                      </w:rPr>
                    </w:pPr>
                    <w:r w:rsidRPr="0066415F">
                      <w:rPr>
                        <w:noProof/>
                      </w:rPr>
                      <w:t>OFFICIAL</w:t>
                    </w:r>
                  </w:p>
                </w:txbxContent>
              </v:textbox>
              <w10:wrap anchorx="page" anchory="page"/>
            </v:shape>
          </w:pict>
        </mc:Fallback>
      </mc:AlternateContent>
    </w:r>
    <w:r>
      <w:rPr>
        <w:noProof/>
      </w:rPr>
      <mc:AlternateContent>
        <mc:Choice Requires="wps">
          <w:drawing>
            <wp:anchor distT="0" distB="0" distL="114300" distR="114300" simplePos="0" relativeHeight="251658245" behindDoc="1" locked="0" layoutInCell="1" allowOverlap="1" wp14:anchorId="338B3BBB" wp14:editId="1A5F7A68">
              <wp:simplePos x="0" y="0"/>
              <wp:positionH relativeFrom="page">
                <wp:align>center</wp:align>
              </wp:positionH>
              <wp:positionV relativeFrom="page">
                <wp:align>top</wp:align>
              </wp:positionV>
              <wp:extent cx="7560000" cy="2520000"/>
              <wp:effectExtent l="0" t="0" r="0" b="0"/>
              <wp:wrapNone/>
              <wp:docPr id="5" name="Rectangle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2520000"/>
                      </a:xfrm>
                      <a:prstGeom prst="rect">
                        <a:avLst/>
                      </a:prstGeom>
                      <a:solidFill>
                        <a:srgbClr val="E6E1F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6685EEB" id="Rectangle 5" o:spid="_x0000_s1026" alt="&quot;&quot;" style="position:absolute;margin-left:0;margin-top:0;width:595.3pt;height:198.45pt;z-index:-251658235;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" fillcolor="#e6e1fd" stroked="f" strokeweight="1pt">
              <w10:wrap anchorx="page" anchory="page"/>
            </v:rect>
          </w:pict>
        </mc:Fallback>
      </mc:AlternateContent>
    </w:r>
    <w:r>
      <w:rPr>
        <w:noProof/>
      </w:rPr>
      <mc:AlternateContent>
        <mc:Choice Requires="wps">
          <w:drawing>
            <wp:anchor distT="36195" distB="0" distL="114300" distR="114300" simplePos="0" relativeHeight="251658247" behindDoc="1" locked="0" layoutInCell="1" allowOverlap="1" wp14:anchorId="4FEA0B87" wp14:editId="60C90EA3">
              <wp:simplePos x="0" y="0"/>
              <wp:positionH relativeFrom="page">
                <wp:align>center</wp:align>
              </wp:positionH>
              <wp:positionV relativeFrom="page">
                <wp:posOffset>1476375</wp:posOffset>
              </wp:positionV>
              <wp:extent cx="7560000" cy="72000"/>
              <wp:effectExtent l="0" t="0" r="0" b="4445"/>
              <wp:wrapTopAndBottom/>
              <wp:docPr id="1" name="Rectangle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720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96EF5F" id="Rectangle 1" o:spid="_x0000_s1026" alt="&quot;&quot;" style="position:absolute;margin-left:0;margin-top:116.25pt;width:595.3pt;height:5.65pt;z-index:-251658233;visibility:visible;mso-wrap-style:square;mso-width-percent:0;mso-height-percent:0;mso-wrap-distance-left:9pt;mso-wrap-distance-top:2.85pt;mso-wrap-distance-right:9pt;mso-wrap-distance-bottom:0;mso-position-horizontal:center;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" filled="f" stroked="f" strokeweight="1pt">
              <w10:wrap type="topAndBottom" anchorx="page" anchory="page"/>
            </v:rect>
          </w:pict>
        </mc:Fallback>
      </mc:AlternateContent>
    </w:r>
  </w:p>
  <w:p w14:paraId="338199B8" w14:textId="77777777" w:rsidR="00E55CEE" w:rsidRDefault="00E55CEE"/>
  <w:p w14:paraId="30D96187" w14:textId="77777777" w:rsidR="00E55CEE" w:rsidRDefault="00E55CE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DD3BE2"/>
    <w:multiLevelType w:val="hybridMultilevel"/>
    <w:tmpl w:val="DF041F54"/>
    <w:lvl w:ilvl="0" w:tplc="9CCCD85C">
      <w:start w:val="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A87DAA"/>
    <w:multiLevelType w:val="hybridMultilevel"/>
    <w:tmpl w:val="31A84B6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0B949A2"/>
    <w:multiLevelType w:val="hybridMultilevel"/>
    <w:tmpl w:val="FC78469E"/>
    <w:lvl w:ilvl="0" w:tplc="A51CBB6C">
      <w:start w:val="1"/>
      <w:numFmt w:val="bullet"/>
      <w:lvlText w:val=""/>
      <w:lvlJc w:val="left"/>
      <w:pPr>
        <w:ind w:left="360" w:hanging="360"/>
      </w:pPr>
      <w:rPr>
        <w:rFonts w:ascii="Wingdings" w:eastAsia="Arial" w:hAnsi="Wingdings"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4"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9EF3C02"/>
    <w:multiLevelType w:val="hybridMultilevel"/>
    <w:tmpl w:val="2F1CC654"/>
    <w:lvl w:ilvl="0" w:tplc="3EE2F088">
      <w:start w:val="1"/>
      <w:numFmt w:val="bullet"/>
      <w:lvlText w:val=""/>
      <w:lvlJc w:val="left"/>
      <w:pPr>
        <w:ind w:left="720" w:hanging="360"/>
      </w:pPr>
      <w:rPr>
        <w:rFonts w:ascii="Symbol" w:hAnsi="Symbol" w:hint="default"/>
      </w:rPr>
    </w:lvl>
    <w:lvl w:ilvl="1" w:tplc="5322C9BA">
      <w:start w:val="1"/>
      <w:numFmt w:val="bullet"/>
      <w:lvlText w:val="o"/>
      <w:lvlJc w:val="left"/>
      <w:pPr>
        <w:ind w:left="1440" w:hanging="360"/>
      </w:pPr>
      <w:rPr>
        <w:rFonts w:ascii="Courier New" w:hAnsi="Courier New" w:hint="default"/>
      </w:rPr>
    </w:lvl>
    <w:lvl w:ilvl="2" w:tplc="9F5034E2">
      <w:start w:val="1"/>
      <w:numFmt w:val="bullet"/>
      <w:lvlText w:val=""/>
      <w:lvlJc w:val="left"/>
      <w:pPr>
        <w:ind w:left="2160" w:hanging="360"/>
      </w:pPr>
      <w:rPr>
        <w:rFonts w:ascii="Wingdings" w:hAnsi="Wingdings" w:hint="default"/>
      </w:rPr>
    </w:lvl>
    <w:lvl w:ilvl="3" w:tplc="153C1B6C">
      <w:start w:val="1"/>
      <w:numFmt w:val="bullet"/>
      <w:lvlText w:val=""/>
      <w:lvlJc w:val="left"/>
      <w:pPr>
        <w:ind w:left="2880" w:hanging="360"/>
      </w:pPr>
      <w:rPr>
        <w:rFonts w:ascii="Symbol" w:hAnsi="Symbol" w:hint="default"/>
      </w:rPr>
    </w:lvl>
    <w:lvl w:ilvl="4" w:tplc="88EEA0CA">
      <w:start w:val="1"/>
      <w:numFmt w:val="bullet"/>
      <w:lvlText w:val="o"/>
      <w:lvlJc w:val="left"/>
      <w:pPr>
        <w:ind w:left="3600" w:hanging="360"/>
      </w:pPr>
      <w:rPr>
        <w:rFonts w:ascii="Courier New" w:hAnsi="Courier New" w:hint="default"/>
      </w:rPr>
    </w:lvl>
    <w:lvl w:ilvl="5" w:tplc="F5AECA52">
      <w:start w:val="1"/>
      <w:numFmt w:val="bullet"/>
      <w:lvlText w:val=""/>
      <w:lvlJc w:val="left"/>
      <w:pPr>
        <w:ind w:left="4320" w:hanging="360"/>
      </w:pPr>
      <w:rPr>
        <w:rFonts w:ascii="Wingdings" w:hAnsi="Wingdings" w:hint="default"/>
      </w:rPr>
    </w:lvl>
    <w:lvl w:ilvl="6" w:tplc="545E24FE">
      <w:start w:val="1"/>
      <w:numFmt w:val="bullet"/>
      <w:lvlText w:val=""/>
      <w:lvlJc w:val="left"/>
      <w:pPr>
        <w:ind w:left="5040" w:hanging="360"/>
      </w:pPr>
      <w:rPr>
        <w:rFonts w:ascii="Symbol" w:hAnsi="Symbol" w:hint="default"/>
      </w:rPr>
    </w:lvl>
    <w:lvl w:ilvl="7" w:tplc="8FDA2D90">
      <w:start w:val="1"/>
      <w:numFmt w:val="bullet"/>
      <w:lvlText w:val="o"/>
      <w:lvlJc w:val="left"/>
      <w:pPr>
        <w:ind w:left="5760" w:hanging="360"/>
      </w:pPr>
      <w:rPr>
        <w:rFonts w:ascii="Courier New" w:hAnsi="Courier New" w:hint="default"/>
      </w:rPr>
    </w:lvl>
    <w:lvl w:ilvl="8" w:tplc="69BE2EE6">
      <w:start w:val="1"/>
      <w:numFmt w:val="bullet"/>
      <w:lvlText w:val=""/>
      <w:lvlJc w:val="left"/>
      <w:pPr>
        <w:ind w:left="6480" w:hanging="360"/>
      </w:pPr>
      <w:rPr>
        <w:rFonts w:ascii="Wingdings" w:hAnsi="Wingdings" w:hint="default"/>
      </w:rPr>
    </w:lvl>
  </w:abstractNum>
  <w:abstractNum w:abstractNumId="6"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7" w15:restartNumberingAfterBreak="0">
    <w:nsid w:val="20E40571"/>
    <w:multiLevelType w:val="hybridMultilevel"/>
    <w:tmpl w:val="FA3C68E0"/>
    <w:lvl w:ilvl="0" w:tplc="A51CBB6C">
      <w:start w:val="1"/>
      <w:numFmt w:val="bullet"/>
      <w:lvlText w:val=""/>
      <w:lvlJc w:val="left"/>
      <w:pPr>
        <w:ind w:left="720" w:hanging="360"/>
      </w:pPr>
      <w:rPr>
        <w:rFonts w:ascii="Wingdings" w:eastAsia="Arial"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AB63578"/>
    <w:multiLevelType w:val="hybridMultilevel"/>
    <w:tmpl w:val="1A9C1EAE"/>
    <w:lvl w:ilvl="0" w:tplc="A51CBB6C">
      <w:start w:val="1"/>
      <w:numFmt w:val="bullet"/>
      <w:lvlText w:val=""/>
      <w:lvlJc w:val="left"/>
      <w:pPr>
        <w:ind w:left="720" w:hanging="360"/>
      </w:pPr>
      <w:rPr>
        <w:rFonts w:ascii="Wingdings" w:eastAsia="Arial" w:hAnsi="Wingdings"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EC448DE"/>
    <w:multiLevelType w:val="hybridMultilevel"/>
    <w:tmpl w:val="31CCC468"/>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30ED3E97"/>
    <w:multiLevelType w:val="hybridMultilevel"/>
    <w:tmpl w:val="BF48AB22"/>
    <w:lvl w:ilvl="0" w:tplc="0C090001">
      <w:start w:val="1"/>
      <w:numFmt w:val="bullet"/>
      <w:lvlText w:val=""/>
      <w:lvlJc w:val="left"/>
      <w:pPr>
        <w:tabs>
          <w:tab w:val="num" w:pos="369"/>
        </w:tabs>
        <w:ind w:left="369" w:hanging="369"/>
      </w:pPr>
      <w:rPr>
        <w:rFonts w:ascii="Symbol" w:hAnsi="Symbol" w:hint="default"/>
        <w:b/>
        <w:bCs/>
        <w:i w:val="0"/>
        <w:iCs w:val="0"/>
        <w:color w:val="CDD3D6" w:themeColor="accent6"/>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343C276A"/>
    <w:multiLevelType w:val="hybridMultilevel"/>
    <w:tmpl w:val="679C3A82"/>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357D4695"/>
    <w:multiLevelType w:val="hybridMultilevel"/>
    <w:tmpl w:val="2E666274"/>
    <w:lvl w:ilvl="0" w:tplc="534CDACA">
      <w:start w:val="1"/>
      <w:numFmt w:val="bullet"/>
      <w:pStyle w:val="ListBullet3"/>
      <w:lvlText w:val=""/>
      <w:lvlJc w:val="left"/>
      <w:pPr>
        <w:tabs>
          <w:tab w:val="num" w:pos="-356"/>
        </w:tabs>
        <w:ind w:left="-356" w:hanging="358"/>
      </w:pPr>
      <w:rPr>
        <w:rFonts w:ascii="Symbol" w:hAnsi="Symbol" w:hint="default"/>
        <w:b w:val="0"/>
        <w:i w:val="0"/>
        <w:color w:val="22272B" w:themeColor="text1"/>
        <w:sz w:val="16"/>
      </w:rPr>
    </w:lvl>
    <w:lvl w:ilvl="1" w:tplc="0C090003" w:tentative="1">
      <w:start w:val="1"/>
      <w:numFmt w:val="bullet"/>
      <w:lvlText w:val="o"/>
      <w:lvlJc w:val="left"/>
      <w:pPr>
        <w:ind w:left="726" w:hanging="360"/>
      </w:pPr>
      <w:rPr>
        <w:rFonts w:ascii="Courier New" w:hAnsi="Courier New" w:cs="Courier New" w:hint="default"/>
      </w:rPr>
    </w:lvl>
    <w:lvl w:ilvl="2" w:tplc="0C090005" w:tentative="1">
      <w:start w:val="1"/>
      <w:numFmt w:val="bullet"/>
      <w:lvlText w:val=""/>
      <w:lvlJc w:val="left"/>
      <w:pPr>
        <w:ind w:left="1446" w:hanging="360"/>
      </w:pPr>
      <w:rPr>
        <w:rFonts w:ascii="Wingdings" w:hAnsi="Wingdings" w:hint="default"/>
      </w:rPr>
    </w:lvl>
    <w:lvl w:ilvl="3" w:tplc="0C090001" w:tentative="1">
      <w:start w:val="1"/>
      <w:numFmt w:val="bullet"/>
      <w:lvlText w:val=""/>
      <w:lvlJc w:val="left"/>
      <w:pPr>
        <w:ind w:left="2166" w:hanging="360"/>
      </w:pPr>
      <w:rPr>
        <w:rFonts w:ascii="Symbol" w:hAnsi="Symbol" w:hint="default"/>
      </w:rPr>
    </w:lvl>
    <w:lvl w:ilvl="4" w:tplc="0C090003" w:tentative="1">
      <w:start w:val="1"/>
      <w:numFmt w:val="bullet"/>
      <w:lvlText w:val="o"/>
      <w:lvlJc w:val="left"/>
      <w:pPr>
        <w:ind w:left="2886" w:hanging="360"/>
      </w:pPr>
      <w:rPr>
        <w:rFonts w:ascii="Courier New" w:hAnsi="Courier New" w:cs="Courier New" w:hint="default"/>
      </w:rPr>
    </w:lvl>
    <w:lvl w:ilvl="5" w:tplc="0C090005" w:tentative="1">
      <w:start w:val="1"/>
      <w:numFmt w:val="bullet"/>
      <w:lvlText w:val=""/>
      <w:lvlJc w:val="left"/>
      <w:pPr>
        <w:ind w:left="3606" w:hanging="360"/>
      </w:pPr>
      <w:rPr>
        <w:rFonts w:ascii="Wingdings" w:hAnsi="Wingdings" w:hint="default"/>
      </w:rPr>
    </w:lvl>
    <w:lvl w:ilvl="6" w:tplc="0C090001" w:tentative="1">
      <w:start w:val="1"/>
      <w:numFmt w:val="bullet"/>
      <w:lvlText w:val=""/>
      <w:lvlJc w:val="left"/>
      <w:pPr>
        <w:ind w:left="4326" w:hanging="360"/>
      </w:pPr>
      <w:rPr>
        <w:rFonts w:ascii="Symbol" w:hAnsi="Symbol" w:hint="default"/>
      </w:rPr>
    </w:lvl>
    <w:lvl w:ilvl="7" w:tplc="0C090003" w:tentative="1">
      <w:start w:val="1"/>
      <w:numFmt w:val="bullet"/>
      <w:lvlText w:val="o"/>
      <w:lvlJc w:val="left"/>
      <w:pPr>
        <w:ind w:left="5046" w:hanging="360"/>
      </w:pPr>
      <w:rPr>
        <w:rFonts w:ascii="Courier New" w:hAnsi="Courier New" w:cs="Courier New" w:hint="default"/>
      </w:rPr>
    </w:lvl>
    <w:lvl w:ilvl="8" w:tplc="0C090005" w:tentative="1">
      <w:start w:val="1"/>
      <w:numFmt w:val="bullet"/>
      <w:lvlText w:val=""/>
      <w:lvlJc w:val="left"/>
      <w:pPr>
        <w:ind w:left="5766" w:hanging="360"/>
      </w:pPr>
      <w:rPr>
        <w:rFonts w:ascii="Wingdings" w:hAnsi="Wingdings" w:hint="default"/>
      </w:rPr>
    </w:lvl>
  </w:abstractNum>
  <w:abstractNum w:abstractNumId="13" w15:restartNumberingAfterBreak="0">
    <w:nsid w:val="3E2142B7"/>
    <w:multiLevelType w:val="hybridMultilevel"/>
    <w:tmpl w:val="5BBA5BF0"/>
    <w:lvl w:ilvl="0" w:tplc="A51CBB6C">
      <w:start w:val="1"/>
      <w:numFmt w:val="bullet"/>
      <w:lvlText w:val=""/>
      <w:lvlJc w:val="left"/>
      <w:pPr>
        <w:ind w:left="720" w:hanging="360"/>
      </w:pPr>
      <w:rPr>
        <w:rFonts w:ascii="Wingdings" w:eastAsia="Arial"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B066202"/>
    <w:multiLevelType w:val="hybridMultilevel"/>
    <w:tmpl w:val="F7981284"/>
    <w:lvl w:ilvl="0" w:tplc="8FFE64FE">
      <w:start w:val="1"/>
      <w:numFmt w:val="decimal"/>
      <w:pStyle w:val="Listnumbered"/>
      <w:lvlText w:val="%1."/>
      <w:lvlJc w:val="left"/>
      <w:pPr>
        <w:tabs>
          <w:tab w:val="num" w:pos="369"/>
        </w:tabs>
        <w:ind w:left="369" w:hanging="369"/>
      </w:pPr>
      <w:rPr>
        <w:rFonts w:ascii="Arial" w:hAnsi="Arial" w:hint="default"/>
        <w:b/>
        <w:bCs/>
        <w:i w:val="0"/>
        <w:iCs w:val="0"/>
        <w:color w:val="CDD3D6" w:themeColor="accent6"/>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4E0D1213"/>
    <w:multiLevelType w:val="hybridMultilevel"/>
    <w:tmpl w:val="8AF2FAA2"/>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4F0B1078"/>
    <w:multiLevelType w:val="hybridMultilevel"/>
    <w:tmpl w:val="CA68789C"/>
    <w:lvl w:ilvl="0" w:tplc="819E0B9A">
      <w:start w:val="1"/>
      <w:numFmt w:val="lowerLetter"/>
      <w:lvlText w:val="%1)"/>
      <w:lvlJc w:val="left"/>
      <w:pPr>
        <w:tabs>
          <w:tab w:val="num" w:pos="358"/>
        </w:tabs>
        <w:ind w:left="358" w:hanging="358"/>
      </w:pPr>
      <w:rPr>
        <w:rFonts w:hint="default"/>
        <w:b w:val="0"/>
        <w:i w:val="0"/>
        <w:color w:val="22272B" w:themeColor="text1"/>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505C1821"/>
    <w:multiLevelType w:val="hybridMultilevel"/>
    <w:tmpl w:val="4692DB28"/>
    <w:lvl w:ilvl="0" w:tplc="0C09000F">
      <w:start w:val="1"/>
      <w:numFmt w:val="decimal"/>
      <w:pStyle w:val="ListBullet"/>
      <w:lvlText w:val="%1."/>
      <w:lvlJc w:val="left"/>
      <w:pPr>
        <w:tabs>
          <w:tab w:val="num" w:pos="357"/>
        </w:tabs>
        <w:ind w:left="357" w:hanging="357"/>
      </w:pPr>
      <w:rPr>
        <w:rFonts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19B761D"/>
    <w:multiLevelType w:val="hybridMultilevel"/>
    <w:tmpl w:val="C978AA62"/>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9" w15:restartNumberingAfterBreak="0">
    <w:nsid w:val="525C4BF6"/>
    <w:multiLevelType w:val="hybridMultilevel"/>
    <w:tmpl w:val="AFD409CA"/>
    <w:lvl w:ilvl="0" w:tplc="A51CBB6C">
      <w:start w:val="1"/>
      <w:numFmt w:val="bullet"/>
      <w:lvlText w:val=""/>
      <w:lvlJc w:val="left"/>
      <w:pPr>
        <w:ind w:left="360" w:hanging="360"/>
      </w:pPr>
      <w:rPr>
        <w:rFonts w:ascii="Wingdings" w:eastAsia="Arial" w:hAnsi="Wingdings"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21" w15:restartNumberingAfterBreak="0">
    <w:nsid w:val="58672504"/>
    <w:multiLevelType w:val="hybridMultilevel"/>
    <w:tmpl w:val="DF8CA36C"/>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5F5332A9"/>
    <w:multiLevelType w:val="hybridMultilevel"/>
    <w:tmpl w:val="5CDE3618"/>
    <w:lvl w:ilvl="0" w:tplc="A51CBB6C">
      <w:start w:val="1"/>
      <w:numFmt w:val="bullet"/>
      <w:lvlText w:val=""/>
      <w:lvlJc w:val="left"/>
      <w:pPr>
        <w:ind w:left="720" w:hanging="360"/>
      </w:pPr>
      <w:rPr>
        <w:rFonts w:ascii="Wingdings" w:eastAsia="Arial"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D164D35"/>
    <w:multiLevelType w:val="hybridMultilevel"/>
    <w:tmpl w:val="FFFFFFFF"/>
    <w:lvl w:ilvl="0" w:tplc="33662F16">
      <w:start w:val="1"/>
      <w:numFmt w:val="bullet"/>
      <w:lvlText w:val=""/>
      <w:lvlJc w:val="left"/>
      <w:pPr>
        <w:ind w:left="720" w:hanging="360"/>
      </w:pPr>
      <w:rPr>
        <w:rFonts w:ascii="Symbol" w:hAnsi="Symbol" w:hint="default"/>
      </w:rPr>
    </w:lvl>
    <w:lvl w:ilvl="1" w:tplc="C138348C">
      <w:start w:val="1"/>
      <w:numFmt w:val="bullet"/>
      <w:lvlText w:val="o"/>
      <w:lvlJc w:val="left"/>
      <w:pPr>
        <w:ind w:left="1440" w:hanging="360"/>
      </w:pPr>
      <w:rPr>
        <w:rFonts w:ascii="Courier New" w:hAnsi="Courier New" w:hint="default"/>
      </w:rPr>
    </w:lvl>
    <w:lvl w:ilvl="2" w:tplc="3B7A1E04">
      <w:start w:val="1"/>
      <w:numFmt w:val="bullet"/>
      <w:lvlText w:val=""/>
      <w:lvlJc w:val="left"/>
      <w:pPr>
        <w:ind w:left="2160" w:hanging="360"/>
      </w:pPr>
      <w:rPr>
        <w:rFonts w:ascii="Wingdings" w:hAnsi="Wingdings" w:hint="default"/>
      </w:rPr>
    </w:lvl>
    <w:lvl w:ilvl="3" w:tplc="C7CA3A74">
      <w:start w:val="1"/>
      <w:numFmt w:val="bullet"/>
      <w:lvlText w:val=""/>
      <w:lvlJc w:val="left"/>
      <w:pPr>
        <w:ind w:left="2880" w:hanging="360"/>
      </w:pPr>
      <w:rPr>
        <w:rFonts w:ascii="Symbol" w:hAnsi="Symbol" w:hint="default"/>
      </w:rPr>
    </w:lvl>
    <w:lvl w:ilvl="4" w:tplc="02EC8308">
      <w:start w:val="1"/>
      <w:numFmt w:val="bullet"/>
      <w:lvlText w:val="o"/>
      <w:lvlJc w:val="left"/>
      <w:pPr>
        <w:ind w:left="3600" w:hanging="360"/>
      </w:pPr>
      <w:rPr>
        <w:rFonts w:ascii="Courier New" w:hAnsi="Courier New" w:hint="default"/>
      </w:rPr>
    </w:lvl>
    <w:lvl w:ilvl="5" w:tplc="4E20A88A">
      <w:start w:val="1"/>
      <w:numFmt w:val="bullet"/>
      <w:lvlText w:val=""/>
      <w:lvlJc w:val="left"/>
      <w:pPr>
        <w:ind w:left="4320" w:hanging="360"/>
      </w:pPr>
      <w:rPr>
        <w:rFonts w:ascii="Wingdings" w:hAnsi="Wingdings" w:hint="default"/>
      </w:rPr>
    </w:lvl>
    <w:lvl w:ilvl="6" w:tplc="24D0B0B2">
      <w:start w:val="1"/>
      <w:numFmt w:val="bullet"/>
      <w:lvlText w:val=""/>
      <w:lvlJc w:val="left"/>
      <w:pPr>
        <w:ind w:left="5040" w:hanging="360"/>
      </w:pPr>
      <w:rPr>
        <w:rFonts w:ascii="Symbol" w:hAnsi="Symbol" w:hint="default"/>
      </w:rPr>
    </w:lvl>
    <w:lvl w:ilvl="7" w:tplc="1608822A">
      <w:start w:val="1"/>
      <w:numFmt w:val="bullet"/>
      <w:lvlText w:val="o"/>
      <w:lvlJc w:val="left"/>
      <w:pPr>
        <w:ind w:left="5760" w:hanging="360"/>
      </w:pPr>
      <w:rPr>
        <w:rFonts w:ascii="Courier New" w:hAnsi="Courier New" w:hint="default"/>
      </w:rPr>
    </w:lvl>
    <w:lvl w:ilvl="8" w:tplc="160E7E1E">
      <w:start w:val="1"/>
      <w:numFmt w:val="bullet"/>
      <w:lvlText w:val=""/>
      <w:lvlJc w:val="left"/>
      <w:pPr>
        <w:ind w:left="6480" w:hanging="360"/>
      </w:pPr>
      <w:rPr>
        <w:rFonts w:ascii="Wingdings" w:hAnsi="Wingdings" w:hint="default"/>
      </w:rPr>
    </w:lvl>
  </w:abstractNum>
  <w:abstractNum w:abstractNumId="24" w15:restartNumberingAfterBreak="0">
    <w:nsid w:val="748030A4"/>
    <w:multiLevelType w:val="hybridMultilevel"/>
    <w:tmpl w:val="9D30D3DE"/>
    <w:lvl w:ilvl="0" w:tplc="A51CBB6C">
      <w:start w:val="1"/>
      <w:numFmt w:val="bullet"/>
      <w:lvlText w:val=""/>
      <w:lvlJc w:val="left"/>
      <w:pPr>
        <w:ind w:left="720" w:hanging="360"/>
      </w:pPr>
      <w:rPr>
        <w:rFonts w:ascii="Wingdings" w:eastAsia="Arial" w:hAnsi="Wingdings"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5E51B91"/>
    <w:multiLevelType w:val="hybridMultilevel"/>
    <w:tmpl w:val="6D7ED60E"/>
    <w:lvl w:ilvl="0" w:tplc="0C090001">
      <w:start w:val="1"/>
      <w:numFmt w:val="bullet"/>
      <w:lvlText w:val=""/>
      <w:lvlJc w:val="left"/>
      <w:pPr>
        <w:ind w:left="360" w:hanging="360"/>
      </w:pPr>
      <w:rPr>
        <w:rFonts w:ascii="Symbol" w:hAnsi="Symbol" w:hint="default"/>
        <w:b/>
        <w:bCs/>
        <w:i w:val="0"/>
        <w:iCs w:val="0"/>
        <w:color w:val="CDD3D6" w:themeColor="accent6"/>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748921062">
    <w:abstractNumId w:val="17"/>
  </w:num>
  <w:num w:numId="2" w16cid:durableId="1878276292">
    <w:abstractNumId w:val="20"/>
  </w:num>
  <w:num w:numId="3" w16cid:durableId="1269660198">
    <w:abstractNumId w:val="12"/>
  </w:num>
  <w:num w:numId="4" w16cid:durableId="1508444419">
    <w:abstractNumId w:val="3"/>
  </w:num>
  <w:num w:numId="5" w16cid:durableId="1686709768">
    <w:abstractNumId w:val="6"/>
  </w:num>
  <w:num w:numId="6" w16cid:durableId="2133087865">
    <w:abstractNumId w:val="4"/>
  </w:num>
  <w:num w:numId="7" w16cid:durableId="1252350034">
    <w:abstractNumId w:val="4"/>
    <w:lvlOverride w:ilvl="0">
      <w:startOverride w:val="1"/>
    </w:lvlOverride>
  </w:num>
  <w:num w:numId="8" w16cid:durableId="1422918899">
    <w:abstractNumId w:val="3"/>
    <w:lvlOverride w:ilvl="0">
      <w:startOverride w:val="1"/>
    </w:lvlOverride>
  </w:num>
  <w:num w:numId="9" w16cid:durableId="524563940">
    <w:abstractNumId w:val="6"/>
    <w:lvlOverride w:ilvl="0">
      <w:startOverride w:val="1"/>
    </w:lvlOverride>
  </w:num>
  <w:num w:numId="10" w16cid:durableId="906453950">
    <w:abstractNumId w:val="17"/>
  </w:num>
  <w:num w:numId="11" w16cid:durableId="1199507892">
    <w:abstractNumId w:val="4"/>
  </w:num>
  <w:num w:numId="12" w16cid:durableId="1194269471">
    <w:abstractNumId w:val="20"/>
  </w:num>
  <w:num w:numId="13" w16cid:durableId="1388914959">
    <w:abstractNumId w:val="12"/>
  </w:num>
  <w:num w:numId="14" w16cid:durableId="1197817635">
    <w:abstractNumId w:val="3"/>
  </w:num>
  <w:num w:numId="15" w16cid:durableId="924723709">
    <w:abstractNumId w:val="6"/>
  </w:num>
  <w:num w:numId="16" w16cid:durableId="1285228989">
    <w:abstractNumId w:val="20"/>
  </w:num>
  <w:num w:numId="17" w16cid:durableId="714475838">
    <w:abstractNumId w:val="12"/>
  </w:num>
  <w:num w:numId="18" w16cid:durableId="389302653">
    <w:abstractNumId w:val="17"/>
  </w:num>
  <w:num w:numId="19" w16cid:durableId="920262953">
    <w:abstractNumId w:val="3"/>
  </w:num>
  <w:num w:numId="20" w16cid:durableId="1081752912">
    <w:abstractNumId w:val="6"/>
  </w:num>
  <w:num w:numId="21" w16cid:durableId="989872588">
    <w:abstractNumId w:val="4"/>
  </w:num>
  <w:num w:numId="22" w16cid:durableId="330109590">
    <w:abstractNumId w:val="17"/>
    <w:lvlOverride w:ilvl="0">
      <w:startOverride w:val="1"/>
    </w:lvlOverride>
  </w:num>
  <w:num w:numId="23" w16cid:durableId="9796861">
    <w:abstractNumId w:val="20"/>
    <w:lvlOverride w:ilvl="0">
      <w:startOverride w:val="1"/>
    </w:lvlOverride>
  </w:num>
  <w:num w:numId="24" w16cid:durableId="135034221">
    <w:abstractNumId w:val="12"/>
    <w:lvlOverride w:ilvl="0">
      <w:startOverride w:val="1"/>
    </w:lvlOverride>
  </w:num>
  <w:num w:numId="25" w16cid:durableId="137698041">
    <w:abstractNumId w:val="17"/>
  </w:num>
  <w:num w:numId="26" w16cid:durableId="806356663">
    <w:abstractNumId w:val="4"/>
  </w:num>
  <w:num w:numId="27" w16cid:durableId="895049751">
    <w:abstractNumId w:val="4"/>
    <w:lvlOverride w:ilvl="0">
      <w:startOverride w:val="1"/>
    </w:lvlOverride>
  </w:num>
  <w:num w:numId="28" w16cid:durableId="1870333825">
    <w:abstractNumId w:val="23"/>
  </w:num>
  <w:num w:numId="29" w16cid:durableId="533546182">
    <w:abstractNumId w:val="14"/>
  </w:num>
  <w:num w:numId="30" w16cid:durableId="1041828062">
    <w:abstractNumId w:val="10"/>
  </w:num>
  <w:num w:numId="31" w16cid:durableId="1337004043">
    <w:abstractNumId w:val="11"/>
  </w:num>
  <w:num w:numId="32" w16cid:durableId="972177970">
    <w:abstractNumId w:val="25"/>
  </w:num>
  <w:num w:numId="33" w16cid:durableId="1355577868">
    <w:abstractNumId w:val="21"/>
  </w:num>
  <w:num w:numId="34" w16cid:durableId="113599003">
    <w:abstractNumId w:val="18"/>
  </w:num>
  <w:num w:numId="35" w16cid:durableId="916520982">
    <w:abstractNumId w:val="9"/>
  </w:num>
  <w:num w:numId="36" w16cid:durableId="277181299">
    <w:abstractNumId w:val="15"/>
  </w:num>
  <w:num w:numId="37" w16cid:durableId="1746563145">
    <w:abstractNumId w:val="5"/>
  </w:num>
  <w:num w:numId="38" w16cid:durableId="1287660503">
    <w:abstractNumId w:val="1"/>
  </w:num>
  <w:num w:numId="39" w16cid:durableId="1153450680">
    <w:abstractNumId w:val="0"/>
  </w:num>
  <w:num w:numId="40" w16cid:durableId="2102556718">
    <w:abstractNumId w:val="24"/>
  </w:num>
  <w:num w:numId="41" w16cid:durableId="688720219">
    <w:abstractNumId w:val="8"/>
  </w:num>
  <w:num w:numId="42" w16cid:durableId="1093090560">
    <w:abstractNumId w:val="22"/>
  </w:num>
  <w:num w:numId="43" w16cid:durableId="788398500">
    <w:abstractNumId w:val="2"/>
  </w:num>
  <w:num w:numId="44" w16cid:durableId="217281712">
    <w:abstractNumId w:val="19"/>
  </w:num>
  <w:num w:numId="45" w16cid:durableId="1466846634">
    <w:abstractNumId w:val="13"/>
  </w:num>
  <w:num w:numId="46" w16cid:durableId="595793628">
    <w:abstractNumId w:val="7"/>
  </w:num>
  <w:num w:numId="47" w16cid:durableId="153573521">
    <w:abstractNumId w:val="1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saveSubsetFonts/>
  <w:proofState w:spelling="clean" w:grammar="clean"/>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1"/>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EC7"/>
    <w:rsid w:val="00000925"/>
    <w:rsid w:val="00002C93"/>
    <w:rsid w:val="000058C1"/>
    <w:rsid w:val="000072A7"/>
    <w:rsid w:val="000100A3"/>
    <w:rsid w:val="000106AC"/>
    <w:rsid w:val="00016E05"/>
    <w:rsid w:val="00025E7F"/>
    <w:rsid w:val="00030C2E"/>
    <w:rsid w:val="00030FD2"/>
    <w:rsid w:val="000319D3"/>
    <w:rsid w:val="00031DFE"/>
    <w:rsid w:val="000369F8"/>
    <w:rsid w:val="00037AFA"/>
    <w:rsid w:val="00037BCA"/>
    <w:rsid w:val="00046ACD"/>
    <w:rsid w:val="0005359F"/>
    <w:rsid w:val="0005618A"/>
    <w:rsid w:val="00061D39"/>
    <w:rsid w:val="00063917"/>
    <w:rsid w:val="00064974"/>
    <w:rsid w:val="00066232"/>
    <w:rsid w:val="00071A65"/>
    <w:rsid w:val="00072591"/>
    <w:rsid w:val="000903A5"/>
    <w:rsid w:val="000953AB"/>
    <w:rsid w:val="00096E97"/>
    <w:rsid w:val="000A3A88"/>
    <w:rsid w:val="000A42F7"/>
    <w:rsid w:val="000A7D6C"/>
    <w:rsid w:val="000B507F"/>
    <w:rsid w:val="000B5523"/>
    <w:rsid w:val="000B70E6"/>
    <w:rsid w:val="000B7DF3"/>
    <w:rsid w:val="000C3212"/>
    <w:rsid w:val="000C32C3"/>
    <w:rsid w:val="000C34C5"/>
    <w:rsid w:val="000C3DFB"/>
    <w:rsid w:val="000C589C"/>
    <w:rsid w:val="000D6B77"/>
    <w:rsid w:val="000E0F87"/>
    <w:rsid w:val="000E2ED1"/>
    <w:rsid w:val="000F2752"/>
    <w:rsid w:val="000F29F4"/>
    <w:rsid w:val="001106A0"/>
    <w:rsid w:val="00111775"/>
    <w:rsid w:val="00116733"/>
    <w:rsid w:val="00120DC0"/>
    <w:rsid w:val="001249A0"/>
    <w:rsid w:val="0013204F"/>
    <w:rsid w:val="0013421B"/>
    <w:rsid w:val="00135F60"/>
    <w:rsid w:val="001375D3"/>
    <w:rsid w:val="0014157C"/>
    <w:rsid w:val="001419CE"/>
    <w:rsid w:val="001455B6"/>
    <w:rsid w:val="001467C3"/>
    <w:rsid w:val="0015035F"/>
    <w:rsid w:val="00150CAE"/>
    <w:rsid w:val="001554D7"/>
    <w:rsid w:val="0015619B"/>
    <w:rsid w:val="0015627D"/>
    <w:rsid w:val="00161785"/>
    <w:rsid w:val="00163D68"/>
    <w:rsid w:val="00163DF6"/>
    <w:rsid w:val="0016583A"/>
    <w:rsid w:val="00167B1C"/>
    <w:rsid w:val="001728CA"/>
    <w:rsid w:val="00173D15"/>
    <w:rsid w:val="00175804"/>
    <w:rsid w:val="001800FA"/>
    <w:rsid w:val="0018388A"/>
    <w:rsid w:val="00185F29"/>
    <w:rsid w:val="0018650D"/>
    <w:rsid w:val="0019390C"/>
    <w:rsid w:val="00193BC9"/>
    <w:rsid w:val="001945EC"/>
    <w:rsid w:val="001A0AEB"/>
    <w:rsid w:val="001A186C"/>
    <w:rsid w:val="001A1FD4"/>
    <w:rsid w:val="001A628B"/>
    <w:rsid w:val="001A7FAD"/>
    <w:rsid w:val="001B0831"/>
    <w:rsid w:val="001B42A7"/>
    <w:rsid w:val="001B58BB"/>
    <w:rsid w:val="001B6446"/>
    <w:rsid w:val="001C2AD2"/>
    <w:rsid w:val="001C3C88"/>
    <w:rsid w:val="001D46D6"/>
    <w:rsid w:val="001D4825"/>
    <w:rsid w:val="001D48FC"/>
    <w:rsid w:val="001D4C98"/>
    <w:rsid w:val="001D754D"/>
    <w:rsid w:val="001E04AA"/>
    <w:rsid w:val="001E0762"/>
    <w:rsid w:val="001F0F1A"/>
    <w:rsid w:val="001F3420"/>
    <w:rsid w:val="00202697"/>
    <w:rsid w:val="002071B2"/>
    <w:rsid w:val="0021431B"/>
    <w:rsid w:val="00216B6C"/>
    <w:rsid w:val="00223E4A"/>
    <w:rsid w:val="00224DDA"/>
    <w:rsid w:val="00233115"/>
    <w:rsid w:val="002332AE"/>
    <w:rsid w:val="00240008"/>
    <w:rsid w:val="002409AB"/>
    <w:rsid w:val="00246190"/>
    <w:rsid w:val="0024683D"/>
    <w:rsid w:val="00247B09"/>
    <w:rsid w:val="002530BB"/>
    <w:rsid w:val="00255A7A"/>
    <w:rsid w:val="002605EC"/>
    <w:rsid w:val="00262045"/>
    <w:rsid w:val="00266CFC"/>
    <w:rsid w:val="00272163"/>
    <w:rsid w:val="002722B0"/>
    <w:rsid w:val="002725C8"/>
    <w:rsid w:val="00273AC4"/>
    <w:rsid w:val="00274B76"/>
    <w:rsid w:val="0027645B"/>
    <w:rsid w:val="002800C9"/>
    <w:rsid w:val="0028213F"/>
    <w:rsid w:val="00286717"/>
    <w:rsid w:val="00287597"/>
    <w:rsid w:val="002900D9"/>
    <w:rsid w:val="0029398B"/>
    <w:rsid w:val="00297E89"/>
    <w:rsid w:val="002A1284"/>
    <w:rsid w:val="002A385E"/>
    <w:rsid w:val="002B5B07"/>
    <w:rsid w:val="002C4F01"/>
    <w:rsid w:val="002C4FBA"/>
    <w:rsid w:val="002C7806"/>
    <w:rsid w:val="002D06D6"/>
    <w:rsid w:val="002D0FCF"/>
    <w:rsid w:val="002D2199"/>
    <w:rsid w:val="002D2C66"/>
    <w:rsid w:val="002D392D"/>
    <w:rsid w:val="002D615C"/>
    <w:rsid w:val="002D7A8C"/>
    <w:rsid w:val="002E235A"/>
    <w:rsid w:val="002E34BF"/>
    <w:rsid w:val="002F3A58"/>
    <w:rsid w:val="002F666A"/>
    <w:rsid w:val="003032CA"/>
    <w:rsid w:val="00305D69"/>
    <w:rsid w:val="00307620"/>
    <w:rsid w:val="0031174F"/>
    <w:rsid w:val="00313DBC"/>
    <w:rsid w:val="00320C27"/>
    <w:rsid w:val="00321722"/>
    <w:rsid w:val="003226D8"/>
    <w:rsid w:val="003266CA"/>
    <w:rsid w:val="00326B78"/>
    <w:rsid w:val="00326DF1"/>
    <w:rsid w:val="00331551"/>
    <w:rsid w:val="00332DBA"/>
    <w:rsid w:val="00333458"/>
    <w:rsid w:val="00340CA0"/>
    <w:rsid w:val="00343BB5"/>
    <w:rsid w:val="003450AA"/>
    <w:rsid w:val="003503CC"/>
    <w:rsid w:val="00350D4C"/>
    <w:rsid w:val="003522CE"/>
    <w:rsid w:val="00357235"/>
    <w:rsid w:val="00360042"/>
    <w:rsid w:val="00371F6A"/>
    <w:rsid w:val="0037399B"/>
    <w:rsid w:val="00387695"/>
    <w:rsid w:val="00391824"/>
    <w:rsid w:val="003A44F5"/>
    <w:rsid w:val="003B19B3"/>
    <w:rsid w:val="003B1BF2"/>
    <w:rsid w:val="003B523A"/>
    <w:rsid w:val="003B56EA"/>
    <w:rsid w:val="003C03F1"/>
    <w:rsid w:val="003C3E43"/>
    <w:rsid w:val="003D477E"/>
    <w:rsid w:val="003E211E"/>
    <w:rsid w:val="003E49F4"/>
    <w:rsid w:val="003E530F"/>
    <w:rsid w:val="003F2482"/>
    <w:rsid w:val="003F5577"/>
    <w:rsid w:val="00402E8F"/>
    <w:rsid w:val="00403322"/>
    <w:rsid w:val="00403C95"/>
    <w:rsid w:val="00404B96"/>
    <w:rsid w:val="00405A69"/>
    <w:rsid w:val="00406221"/>
    <w:rsid w:val="00414BBA"/>
    <w:rsid w:val="0042223A"/>
    <w:rsid w:val="00423068"/>
    <w:rsid w:val="0042374C"/>
    <w:rsid w:val="0042478C"/>
    <w:rsid w:val="004268D9"/>
    <w:rsid w:val="0043431C"/>
    <w:rsid w:val="0043445D"/>
    <w:rsid w:val="00442D54"/>
    <w:rsid w:val="0045338A"/>
    <w:rsid w:val="00455C7C"/>
    <w:rsid w:val="004609D1"/>
    <w:rsid w:val="00461B8C"/>
    <w:rsid w:val="00470E1A"/>
    <w:rsid w:val="00473FB7"/>
    <w:rsid w:val="004747A0"/>
    <w:rsid w:val="00475E3A"/>
    <w:rsid w:val="00482E74"/>
    <w:rsid w:val="00491CFA"/>
    <w:rsid w:val="00494710"/>
    <w:rsid w:val="00494EB4"/>
    <w:rsid w:val="00494FA9"/>
    <w:rsid w:val="00496F42"/>
    <w:rsid w:val="004978AD"/>
    <w:rsid w:val="004A0B49"/>
    <w:rsid w:val="004A4836"/>
    <w:rsid w:val="004A6226"/>
    <w:rsid w:val="004B0EE6"/>
    <w:rsid w:val="004B63AC"/>
    <w:rsid w:val="004C02EC"/>
    <w:rsid w:val="004C1A21"/>
    <w:rsid w:val="004C3160"/>
    <w:rsid w:val="004C35B2"/>
    <w:rsid w:val="004D1302"/>
    <w:rsid w:val="004D5BE5"/>
    <w:rsid w:val="004E225E"/>
    <w:rsid w:val="004F3947"/>
    <w:rsid w:val="004F4880"/>
    <w:rsid w:val="004F6D4C"/>
    <w:rsid w:val="004F77CB"/>
    <w:rsid w:val="00500B67"/>
    <w:rsid w:val="005024FD"/>
    <w:rsid w:val="00502DAC"/>
    <w:rsid w:val="0050645A"/>
    <w:rsid w:val="005106E8"/>
    <w:rsid w:val="005117E3"/>
    <w:rsid w:val="00520735"/>
    <w:rsid w:val="0053238E"/>
    <w:rsid w:val="00534EB6"/>
    <w:rsid w:val="005376CA"/>
    <w:rsid w:val="00540686"/>
    <w:rsid w:val="00541464"/>
    <w:rsid w:val="00542E6F"/>
    <w:rsid w:val="00544513"/>
    <w:rsid w:val="00544E33"/>
    <w:rsid w:val="00544E58"/>
    <w:rsid w:val="00544EB3"/>
    <w:rsid w:val="00550F70"/>
    <w:rsid w:val="00553FF3"/>
    <w:rsid w:val="00554FDF"/>
    <w:rsid w:val="005565E9"/>
    <w:rsid w:val="00561323"/>
    <w:rsid w:val="0056253D"/>
    <w:rsid w:val="005668BE"/>
    <w:rsid w:val="00570AED"/>
    <w:rsid w:val="00573306"/>
    <w:rsid w:val="005758D2"/>
    <w:rsid w:val="00576CCF"/>
    <w:rsid w:val="0058068B"/>
    <w:rsid w:val="0058194F"/>
    <w:rsid w:val="00582DD9"/>
    <w:rsid w:val="00586CF7"/>
    <w:rsid w:val="005875FC"/>
    <w:rsid w:val="00590A83"/>
    <w:rsid w:val="00592052"/>
    <w:rsid w:val="0059207E"/>
    <w:rsid w:val="00594235"/>
    <w:rsid w:val="00594DAC"/>
    <w:rsid w:val="00595377"/>
    <w:rsid w:val="005A0469"/>
    <w:rsid w:val="005A1041"/>
    <w:rsid w:val="005A3365"/>
    <w:rsid w:val="005A3D3C"/>
    <w:rsid w:val="005A4D28"/>
    <w:rsid w:val="005B2F8C"/>
    <w:rsid w:val="005B55C8"/>
    <w:rsid w:val="005B6086"/>
    <w:rsid w:val="005C302B"/>
    <w:rsid w:val="005C5152"/>
    <w:rsid w:val="005C7C60"/>
    <w:rsid w:val="005D0816"/>
    <w:rsid w:val="005D2D7A"/>
    <w:rsid w:val="005D66AB"/>
    <w:rsid w:val="005D7EAE"/>
    <w:rsid w:val="005E04AB"/>
    <w:rsid w:val="005E5EC0"/>
    <w:rsid w:val="005F0B4B"/>
    <w:rsid w:val="005F1786"/>
    <w:rsid w:val="005F252B"/>
    <w:rsid w:val="005F2D5F"/>
    <w:rsid w:val="005F4E21"/>
    <w:rsid w:val="00610A2D"/>
    <w:rsid w:val="006141E5"/>
    <w:rsid w:val="00621D65"/>
    <w:rsid w:val="00624890"/>
    <w:rsid w:val="006259B7"/>
    <w:rsid w:val="00640A75"/>
    <w:rsid w:val="00643642"/>
    <w:rsid w:val="00645D50"/>
    <w:rsid w:val="006519D7"/>
    <w:rsid w:val="00656DD4"/>
    <w:rsid w:val="006573EA"/>
    <w:rsid w:val="00661EBB"/>
    <w:rsid w:val="00663924"/>
    <w:rsid w:val="0067338E"/>
    <w:rsid w:val="00673964"/>
    <w:rsid w:val="006876C8"/>
    <w:rsid w:val="006A53BA"/>
    <w:rsid w:val="006B1D31"/>
    <w:rsid w:val="006B423C"/>
    <w:rsid w:val="006B7122"/>
    <w:rsid w:val="006C4799"/>
    <w:rsid w:val="006C5F4C"/>
    <w:rsid w:val="006C5FD2"/>
    <w:rsid w:val="006C6586"/>
    <w:rsid w:val="006E1287"/>
    <w:rsid w:val="006E15A6"/>
    <w:rsid w:val="006E1919"/>
    <w:rsid w:val="006E1E20"/>
    <w:rsid w:val="006E4A18"/>
    <w:rsid w:val="006E76C9"/>
    <w:rsid w:val="006E79DB"/>
    <w:rsid w:val="006F1912"/>
    <w:rsid w:val="006F1B7B"/>
    <w:rsid w:val="006F22EC"/>
    <w:rsid w:val="006F5688"/>
    <w:rsid w:val="00705E32"/>
    <w:rsid w:val="0070775C"/>
    <w:rsid w:val="00710BE9"/>
    <w:rsid w:val="00713A27"/>
    <w:rsid w:val="00714271"/>
    <w:rsid w:val="0071665D"/>
    <w:rsid w:val="00716909"/>
    <w:rsid w:val="0072008C"/>
    <w:rsid w:val="00740716"/>
    <w:rsid w:val="00742F66"/>
    <w:rsid w:val="007432AD"/>
    <w:rsid w:val="0074402C"/>
    <w:rsid w:val="0075394D"/>
    <w:rsid w:val="00754DDA"/>
    <w:rsid w:val="00762A60"/>
    <w:rsid w:val="0076385B"/>
    <w:rsid w:val="00763C24"/>
    <w:rsid w:val="007649A1"/>
    <w:rsid w:val="00772928"/>
    <w:rsid w:val="00773649"/>
    <w:rsid w:val="007772E3"/>
    <w:rsid w:val="00781DF7"/>
    <w:rsid w:val="00783E8F"/>
    <w:rsid w:val="00790147"/>
    <w:rsid w:val="00790E91"/>
    <w:rsid w:val="00791674"/>
    <w:rsid w:val="007A2961"/>
    <w:rsid w:val="007A3BC4"/>
    <w:rsid w:val="007A40B2"/>
    <w:rsid w:val="007A6605"/>
    <w:rsid w:val="007A7FA3"/>
    <w:rsid w:val="007B28B4"/>
    <w:rsid w:val="007B5535"/>
    <w:rsid w:val="007B75E6"/>
    <w:rsid w:val="007C034B"/>
    <w:rsid w:val="007C09C6"/>
    <w:rsid w:val="007D3AC8"/>
    <w:rsid w:val="007D4F90"/>
    <w:rsid w:val="007E04F9"/>
    <w:rsid w:val="007E3FA7"/>
    <w:rsid w:val="007E4B9B"/>
    <w:rsid w:val="007E51BF"/>
    <w:rsid w:val="007E5A0B"/>
    <w:rsid w:val="007F661A"/>
    <w:rsid w:val="008009FD"/>
    <w:rsid w:val="00802278"/>
    <w:rsid w:val="00802606"/>
    <w:rsid w:val="008056CD"/>
    <w:rsid w:val="008126E9"/>
    <w:rsid w:val="008237F6"/>
    <w:rsid w:val="008268F0"/>
    <w:rsid w:val="008274FF"/>
    <w:rsid w:val="0083200B"/>
    <w:rsid w:val="00836860"/>
    <w:rsid w:val="0084017D"/>
    <w:rsid w:val="0084244C"/>
    <w:rsid w:val="0084309C"/>
    <w:rsid w:val="008433D6"/>
    <w:rsid w:val="00852196"/>
    <w:rsid w:val="0086224D"/>
    <w:rsid w:val="008645B6"/>
    <w:rsid w:val="008645D7"/>
    <w:rsid w:val="00864B67"/>
    <w:rsid w:val="008667B1"/>
    <w:rsid w:val="0087190E"/>
    <w:rsid w:val="00880DF2"/>
    <w:rsid w:val="008918C8"/>
    <w:rsid w:val="00894241"/>
    <w:rsid w:val="0089447F"/>
    <w:rsid w:val="00897B7A"/>
    <w:rsid w:val="008A47F1"/>
    <w:rsid w:val="008A5125"/>
    <w:rsid w:val="008A6551"/>
    <w:rsid w:val="008B0530"/>
    <w:rsid w:val="008B2039"/>
    <w:rsid w:val="008C2B5F"/>
    <w:rsid w:val="008C4387"/>
    <w:rsid w:val="008C5F0D"/>
    <w:rsid w:val="008D5F35"/>
    <w:rsid w:val="008E2561"/>
    <w:rsid w:val="008E262F"/>
    <w:rsid w:val="008E3C32"/>
    <w:rsid w:val="008E6EBB"/>
    <w:rsid w:val="008F4A67"/>
    <w:rsid w:val="008F671A"/>
    <w:rsid w:val="009022C6"/>
    <w:rsid w:val="00905970"/>
    <w:rsid w:val="00907377"/>
    <w:rsid w:val="009106E6"/>
    <w:rsid w:val="00912BE6"/>
    <w:rsid w:val="00914297"/>
    <w:rsid w:val="00914F51"/>
    <w:rsid w:val="00915530"/>
    <w:rsid w:val="00921FD3"/>
    <w:rsid w:val="009220D7"/>
    <w:rsid w:val="009233B8"/>
    <w:rsid w:val="0092532C"/>
    <w:rsid w:val="00927174"/>
    <w:rsid w:val="00931697"/>
    <w:rsid w:val="009366EF"/>
    <w:rsid w:val="00936CBE"/>
    <w:rsid w:val="00940A26"/>
    <w:rsid w:val="00942939"/>
    <w:rsid w:val="00946C9F"/>
    <w:rsid w:val="00951861"/>
    <w:rsid w:val="00954CC3"/>
    <w:rsid w:val="00956C67"/>
    <w:rsid w:val="00956ED1"/>
    <w:rsid w:val="00957BDD"/>
    <w:rsid w:val="00972BC1"/>
    <w:rsid w:val="00983DB2"/>
    <w:rsid w:val="00984607"/>
    <w:rsid w:val="0098596F"/>
    <w:rsid w:val="00986B43"/>
    <w:rsid w:val="00992F13"/>
    <w:rsid w:val="009931E1"/>
    <w:rsid w:val="00994AF2"/>
    <w:rsid w:val="009950D3"/>
    <w:rsid w:val="009977D9"/>
    <w:rsid w:val="00997A69"/>
    <w:rsid w:val="00997B05"/>
    <w:rsid w:val="009A04A6"/>
    <w:rsid w:val="009A31A2"/>
    <w:rsid w:val="009A5C99"/>
    <w:rsid w:val="009B0C2F"/>
    <w:rsid w:val="009B15CE"/>
    <w:rsid w:val="009B40C2"/>
    <w:rsid w:val="009B4822"/>
    <w:rsid w:val="009B5355"/>
    <w:rsid w:val="009B535D"/>
    <w:rsid w:val="009B5491"/>
    <w:rsid w:val="009C163C"/>
    <w:rsid w:val="009C5090"/>
    <w:rsid w:val="009C751B"/>
    <w:rsid w:val="009D090D"/>
    <w:rsid w:val="009D6CFB"/>
    <w:rsid w:val="009E40D0"/>
    <w:rsid w:val="009F14B2"/>
    <w:rsid w:val="00A00CBC"/>
    <w:rsid w:val="00A05561"/>
    <w:rsid w:val="00A12D64"/>
    <w:rsid w:val="00A1587A"/>
    <w:rsid w:val="00A20D01"/>
    <w:rsid w:val="00A21AF5"/>
    <w:rsid w:val="00A247A6"/>
    <w:rsid w:val="00A263B1"/>
    <w:rsid w:val="00A26748"/>
    <w:rsid w:val="00A40F8C"/>
    <w:rsid w:val="00A41201"/>
    <w:rsid w:val="00A42E9D"/>
    <w:rsid w:val="00A470DD"/>
    <w:rsid w:val="00A531E0"/>
    <w:rsid w:val="00A6525D"/>
    <w:rsid w:val="00A656CD"/>
    <w:rsid w:val="00A6645A"/>
    <w:rsid w:val="00A66AB0"/>
    <w:rsid w:val="00A7358D"/>
    <w:rsid w:val="00A75153"/>
    <w:rsid w:val="00A762DA"/>
    <w:rsid w:val="00A76CD7"/>
    <w:rsid w:val="00A82E03"/>
    <w:rsid w:val="00A9129A"/>
    <w:rsid w:val="00A94221"/>
    <w:rsid w:val="00A9446C"/>
    <w:rsid w:val="00AA3578"/>
    <w:rsid w:val="00AA410E"/>
    <w:rsid w:val="00AA591D"/>
    <w:rsid w:val="00AB27C8"/>
    <w:rsid w:val="00AB6044"/>
    <w:rsid w:val="00AB60A6"/>
    <w:rsid w:val="00AB7435"/>
    <w:rsid w:val="00AC17F8"/>
    <w:rsid w:val="00AC5770"/>
    <w:rsid w:val="00AC6DF0"/>
    <w:rsid w:val="00AD053A"/>
    <w:rsid w:val="00AD2763"/>
    <w:rsid w:val="00AD3AA7"/>
    <w:rsid w:val="00AD42F8"/>
    <w:rsid w:val="00AD5A77"/>
    <w:rsid w:val="00AD5DF9"/>
    <w:rsid w:val="00AE3255"/>
    <w:rsid w:val="00AE51F8"/>
    <w:rsid w:val="00AE79DF"/>
    <w:rsid w:val="00AF2046"/>
    <w:rsid w:val="00AF30BC"/>
    <w:rsid w:val="00AF33A6"/>
    <w:rsid w:val="00AF4937"/>
    <w:rsid w:val="00AF6B35"/>
    <w:rsid w:val="00AF7E94"/>
    <w:rsid w:val="00B076C0"/>
    <w:rsid w:val="00B1005A"/>
    <w:rsid w:val="00B15E77"/>
    <w:rsid w:val="00B17909"/>
    <w:rsid w:val="00B26B62"/>
    <w:rsid w:val="00B3758B"/>
    <w:rsid w:val="00B37EEA"/>
    <w:rsid w:val="00B41773"/>
    <w:rsid w:val="00B4182B"/>
    <w:rsid w:val="00B45E2A"/>
    <w:rsid w:val="00B4618E"/>
    <w:rsid w:val="00B5150A"/>
    <w:rsid w:val="00B51EC7"/>
    <w:rsid w:val="00B5363D"/>
    <w:rsid w:val="00B5628B"/>
    <w:rsid w:val="00B67B9E"/>
    <w:rsid w:val="00B72486"/>
    <w:rsid w:val="00B75DDA"/>
    <w:rsid w:val="00B82A54"/>
    <w:rsid w:val="00B871D9"/>
    <w:rsid w:val="00B8774E"/>
    <w:rsid w:val="00B91AC1"/>
    <w:rsid w:val="00B91F0A"/>
    <w:rsid w:val="00B94730"/>
    <w:rsid w:val="00BA087C"/>
    <w:rsid w:val="00BA263B"/>
    <w:rsid w:val="00BA2B93"/>
    <w:rsid w:val="00BA72F4"/>
    <w:rsid w:val="00BB00A2"/>
    <w:rsid w:val="00BB5A2E"/>
    <w:rsid w:val="00BB5C51"/>
    <w:rsid w:val="00BB6571"/>
    <w:rsid w:val="00BC2680"/>
    <w:rsid w:val="00BC303F"/>
    <w:rsid w:val="00BC4C3C"/>
    <w:rsid w:val="00BC6216"/>
    <w:rsid w:val="00BC6ADB"/>
    <w:rsid w:val="00BD5B4B"/>
    <w:rsid w:val="00BD6F06"/>
    <w:rsid w:val="00BE02CE"/>
    <w:rsid w:val="00BE14A8"/>
    <w:rsid w:val="00BE3982"/>
    <w:rsid w:val="00BE3F7B"/>
    <w:rsid w:val="00BF2084"/>
    <w:rsid w:val="00BF3ECB"/>
    <w:rsid w:val="00C0580E"/>
    <w:rsid w:val="00C05CFB"/>
    <w:rsid w:val="00C05E58"/>
    <w:rsid w:val="00C12988"/>
    <w:rsid w:val="00C1506D"/>
    <w:rsid w:val="00C15462"/>
    <w:rsid w:val="00C165A5"/>
    <w:rsid w:val="00C249A1"/>
    <w:rsid w:val="00C30927"/>
    <w:rsid w:val="00C31D1F"/>
    <w:rsid w:val="00C3455A"/>
    <w:rsid w:val="00C3595D"/>
    <w:rsid w:val="00C371AB"/>
    <w:rsid w:val="00C509DC"/>
    <w:rsid w:val="00C515B8"/>
    <w:rsid w:val="00C5434A"/>
    <w:rsid w:val="00C570D1"/>
    <w:rsid w:val="00C572B1"/>
    <w:rsid w:val="00C57701"/>
    <w:rsid w:val="00C578EF"/>
    <w:rsid w:val="00C60C33"/>
    <w:rsid w:val="00C620A4"/>
    <w:rsid w:val="00C62FCD"/>
    <w:rsid w:val="00C649CD"/>
    <w:rsid w:val="00C73684"/>
    <w:rsid w:val="00C83E71"/>
    <w:rsid w:val="00C93B28"/>
    <w:rsid w:val="00CA23DA"/>
    <w:rsid w:val="00CA4083"/>
    <w:rsid w:val="00CA49D3"/>
    <w:rsid w:val="00CC0686"/>
    <w:rsid w:val="00CC2368"/>
    <w:rsid w:val="00CD179E"/>
    <w:rsid w:val="00CD2DAA"/>
    <w:rsid w:val="00CD59BC"/>
    <w:rsid w:val="00CE00DA"/>
    <w:rsid w:val="00CE4418"/>
    <w:rsid w:val="00CF2162"/>
    <w:rsid w:val="00D0131E"/>
    <w:rsid w:val="00D015E0"/>
    <w:rsid w:val="00D04215"/>
    <w:rsid w:val="00D076E9"/>
    <w:rsid w:val="00D12DF6"/>
    <w:rsid w:val="00D132A9"/>
    <w:rsid w:val="00D1583E"/>
    <w:rsid w:val="00D16E49"/>
    <w:rsid w:val="00D20E6C"/>
    <w:rsid w:val="00D20F63"/>
    <w:rsid w:val="00D3139F"/>
    <w:rsid w:val="00D36065"/>
    <w:rsid w:val="00D4026B"/>
    <w:rsid w:val="00D43A43"/>
    <w:rsid w:val="00D4739F"/>
    <w:rsid w:val="00D507EE"/>
    <w:rsid w:val="00D50DDC"/>
    <w:rsid w:val="00D51B8A"/>
    <w:rsid w:val="00D5466F"/>
    <w:rsid w:val="00D637A6"/>
    <w:rsid w:val="00D66071"/>
    <w:rsid w:val="00D66072"/>
    <w:rsid w:val="00D70EBF"/>
    <w:rsid w:val="00D76A5D"/>
    <w:rsid w:val="00D833D1"/>
    <w:rsid w:val="00D847B1"/>
    <w:rsid w:val="00D87EC4"/>
    <w:rsid w:val="00D96F3A"/>
    <w:rsid w:val="00DA0CFA"/>
    <w:rsid w:val="00DA532D"/>
    <w:rsid w:val="00DA7523"/>
    <w:rsid w:val="00DB30BF"/>
    <w:rsid w:val="00DB7BED"/>
    <w:rsid w:val="00DD3473"/>
    <w:rsid w:val="00DD502A"/>
    <w:rsid w:val="00DD578A"/>
    <w:rsid w:val="00DE001E"/>
    <w:rsid w:val="00DF3D48"/>
    <w:rsid w:val="00DF4166"/>
    <w:rsid w:val="00E004AE"/>
    <w:rsid w:val="00E03D68"/>
    <w:rsid w:val="00E1175E"/>
    <w:rsid w:val="00E1575A"/>
    <w:rsid w:val="00E25AA7"/>
    <w:rsid w:val="00E26B15"/>
    <w:rsid w:val="00E27304"/>
    <w:rsid w:val="00E313D9"/>
    <w:rsid w:val="00E35D92"/>
    <w:rsid w:val="00E374D5"/>
    <w:rsid w:val="00E37639"/>
    <w:rsid w:val="00E40D5F"/>
    <w:rsid w:val="00E4463F"/>
    <w:rsid w:val="00E55CEE"/>
    <w:rsid w:val="00E56242"/>
    <w:rsid w:val="00E646C7"/>
    <w:rsid w:val="00E750C1"/>
    <w:rsid w:val="00E7518F"/>
    <w:rsid w:val="00E802DF"/>
    <w:rsid w:val="00E81762"/>
    <w:rsid w:val="00E81DD9"/>
    <w:rsid w:val="00E92BE5"/>
    <w:rsid w:val="00E96EBF"/>
    <w:rsid w:val="00EA0098"/>
    <w:rsid w:val="00EA016D"/>
    <w:rsid w:val="00EA2CFB"/>
    <w:rsid w:val="00EA3EA4"/>
    <w:rsid w:val="00EA5586"/>
    <w:rsid w:val="00EB41F3"/>
    <w:rsid w:val="00EC0EE2"/>
    <w:rsid w:val="00EC152C"/>
    <w:rsid w:val="00EC1935"/>
    <w:rsid w:val="00EC34B8"/>
    <w:rsid w:val="00EC72BA"/>
    <w:rsid w:val="00ED49A9"/>
    <w:rsid w:val="00ED6454"/>
    <w:rsid w:val="00ED6A10"/>
    <w:rsid w:val="00ED6F4C"/>
    <w:rsid w:val="00ED7794"/>
    <w:rsid w:val="00EE6084"/>
    <w:rsid w:val="00EF07A7"/>
    <w:rsid w:val="00EF12C4"/>
    <w:rsid w:val="00EF1C2A"/>
    <w:rsid w:val="00EF66A8"/>
    <w:rsid w:val="00EF7FFE"/>
    <w:rsid w:val="00F06145"/>
    <w:rsid w:val="00F10E12"/>
    <w:rsid w:val="00F1307B"/>
    <w:rsid w:val="00F2157A"/>
    <w:rsid w:val="00F22A1B"/>
    <w:rsid w:val="00F245B4"/>
    <w:rsid w:val="00F26BD9"/>
    <w:rsid w:val="00F35372"/>
    <w:rsid w:val="00F37E5F"/>
    <w:rsid w:val="00F4024D"/>
    <w:rsid w:val="00F455B7"/>
    <w:rsid w:val="00F4668E"/>
    <w:rsid w:val="00F54B50"/>
    <w:rsid w:val="00F603E4"/>
    <w:rsid w:val="00F626A4"/>
    <w:rsid w:val="00F64C61"/>
    <w:rsid w:val="00F6553F"/>
    <w:rsid w:val="00F7467D"/>
    <w:rsid w:val="00F80106"/>
    <w:rsid w:val="00F815D0"/>
    <w:rsid w:val="00F82311"/>
    <w:rsid w:val="00F83ECF"/>
    <w:rsid w:val="00F9078F"/>
    <w:rsid w:val="00F93DB8"/>
    <w:rsid w:val="00F979E6"/>
    <w:rsid w:val="00FA0FC5"/>
    <w:rsid w:val="00FB27C7"/>
    <w:rsid w:val="00FC2D5A"/>
    <w:rsid w:val="00FC3449"/>
    <w:rsid w:val="00FC43C3"/>
    <w:rsid w:val="00FC44CB"/>
    <w:rsid w:val="00FC5087"/>
    <w:rsid w:val="00FC6062"/>
    <w:rsid w:val="00FC792C"/>
    <w:rsid w:val="00FC7F4C"/>
    <w:rsid w:val="00FD05CC"/>
    <w:rsid w:val="00FD3B1E"/>
    <w:rsid w:val="00FD4FEB"/>
    <w:rsid w:val="00FD73F8"/>
    <w:rsid w:val="00FE0C95"/>
    <w:rsid w:val="00FE13E3"/>
    <w:rsid w:val="00FE3150"/>
    <w:rsid w:val="00FE6260"/>
    <w:rsid w:val="00FF64FF"/>
    <w:rsid w:val="032EBCB8"/>
    <w:rsid w:val="0A2D9098"/>
    <w:rsid w:val="161A3D74"/>
    <w:rsid w:val="18A116BB"/>
    <w:rsid w:val="3997F608"/>
    <w:rsid w:val="4A2010D4"/>
    <w:rsid w:val="4AB00A37"/>
    <w:rsid w:val="4E12234D"/>
    <w:rsid w:val="67DD8E86"/>
    <w:rsid w:val="6A4CEDC0"/>
    <w:rsid w:val="6AD6809C"/>
    <w:rsid w:val="778D4B53"/>
    <w:rsid w:val="779E14BF"/>
    <w:rsid w:val="78FD347B"/>
    <w:rsid w:val="7BABB067"/>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0F9ED9D9"/>
  <w15:chartTrackingRefBased/>
  <w15:docId w15:val="{2EBEAD6A-A129-4CD0-9D38-F7161085F2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uiPriority="10"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uiPriority="3"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19"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do not use"/>
    <w:qFormat/>
    <w:rsid w:val="00C3595D"/>
    <w:pPr>
      <w:spacing w:before="120" w:after="0" w:line="240" w:lineRule="auto"/>
    </w:pPr>
    <w:rPr>
      <w:rFonts w:ascii="Arial" w:eastAsia="Times New Roman" w:hAnsi="Arial" w:cs="Times New Roman"/>
      <w:szCs w:val="24"/>
      <w:lang w:eastAsia="en-AU"/>
    </w:rPr>
  </w:style>
  <w:style w:type="paragraph" w:styleId="Heading1">
    <w:name w:val="heading 1"/>
    <w:next w:val="BodyText"/>
    <w:link w:val="Heading1Char"/>
    <w:uiPriority w:val="9"/>
    <w:qFormat/>
    <w:rsid w:val="00135F60"/>
    <w:pPr>
      <w:keepNext/>
      <w:keepLines/>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B41773"/>
    <w:pPr>
      <w:keepNext/>
      <w:keepLines/>
      <w:pBdr>
        <w:top w:val="single" w:sz="4" w:space="8" w:color="22272B" w:themeColor="text1"/>
      </w:pBdr>
      <w:suppressAutoHyphens/>
      <w:spacing w:before="240" w:after="240" w:line="240" w:lineRule="auto"/>
      <w:outlineLvl w:val="1"/>
    </w:pPr>
    <w:rPr>
      <w:color w:val="441170"/>
      <w:sz w:val="36"/>
    </w:rPr>
  </w:style>
  <w:style w:type="paragraph" w:styleId="Heading3">
    <w:name w:val="heading 3"/>
    <w:basedOn w:val="BodyText"/>
    <w:next w:val="BodyText"/>
    <w:link w:val="Heading3Char"/>
    <w:uiPriority w:val="9"/>
    <w:qFormat/>
    <w:rsid w:val="00B41773"/>
    <w:pPr>
      <w:outlineLvl w:val="2"/>
    </w:pPr>
    <w:rPr>
      <w:rFonts w:asciiTheme="majorHAnsi" w:hAnsiTheme="majorHAnsi"/>
      <w:color w:val="441170"/>
      <w:sz w:val="28"/>
      <w:szCs w:val="24"/>
    </w:rPr>
  </w:style>
  <w:style w:type="paragraph" w:styleId="Heading4">
    <w:name w:val="heading 4"/>
    <w:next w:val="BodyText"/>
    <w:link w:val="Heading4Char"/>
    <w:uiPriority w:val="9"/>
    <w:qFormat/>
    <w:rsid w:val="00B41773"/>
    <w:pPr>
      <w:keepNext/>
      <w:keepLines/>
      <w:suppressAutoHyphens/>
      <w:spacing w:before="120" w:after="120" w:line="240" w:lineRule="auto"/>
      <w:outlineLvl w:val="3"/>
    </w:pPr>
    <w:rPr>
      <w:rFonts w:asciiTheme="majorHAnsi" w:eastAsiaTheme="majorEastAsia" w:hAnsiTheme="majorHAnsi" w:cstheme="majorBidi"/>
      <w:iCs/>
      <w:color w:val="441170"/>
      <w:sz w:val="24"/>
    </w:rPr>
  </w:style>
  <w:style w:type="paragraph" w:styleId="Heading5">
    <w:name w:val="heading 5"/>
    <w:next w:val="BodyText"/>
    <w:link w:val="Heading5Char"/>
    <w:uiPriority w:val="9"/>
    <w:qFormat/>
    <w:rsid w:val="00B41773"/>
    <w:pPr>
      <w:keepNext/>
      <w:keepLines/>
      <w:suppressAutoHyphens/>
      <w:spacing w:before="120" w:after="120" w:line="240" w:lineRule="auto"/>
      <w:outlineLvl w:val="4"/>
    </w:pPr>
    <w:rPr>
      <w:rFonts w:asciiTheme="majorHAnsi" w:eastAsiaTheme="majorEastAsia" w:hAnsiTheme="majorHAnsi" w:cstheme="majorBidi"/>
      <w:color w:val="441170"/>
    </w:rPr>
  </w:style>
  <w:style w:type="paragraph" w:styleId="Heading6">
    <w:name w:val="heading 6"/>
    <w:next w:val="BodyText"/>
    <w:link w:val="Heading6Char"/>
    <w:uiPriority w:val="9"/>
    <w:semiHidden/>
    <w:rsid w:val="004F77CB"/>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4F77CB"/>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F77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4F77CB"/>
    <w:pPr>
      <w:spacing w:after="0" w:line="240" w:lineRule="auto"/>
    </w:pPr>
    <w:tblPr>
      <w:tblStyleRowBandSize w:val="1"/>
      <w:tblStyleColBandSize w:val="1"/>
      <w:tblBorders>
        <w:top w:val="single" w:sz="4" w:space="0" w:color="EAEDEE" w:themeColor="accent6" w:themeTint="66"/>
        <w:left w:val="single" w:sz="4" w:space="0" w:color="EAEDEE" w:themeColor="accent6" w:themeTint="66"/>
        <w:bottom w:val="single" w:sz="4" w:space="0" w:color="EAEDEE" w:themeColor="accent6" w:themeTint="66"/>
        <w:right w:val="single" w:sz="4" w:space="0" w:color="EAEDEE" w:themeColor="accent6" w:themeTint="66"/>
        <w:insideH w:val="single" w:sz="4" w:space="0" w:color="EAEDEE" w:themeColor="accent6" w:themeTint="66"/>
        <w:insideV w:val="single" w:sz="4" w:space="0" w:color="EAEDEE" w:themeColor="accent6" w:themeTint="66"/>
      </w:tblBorders>
    </w:tblPr>
    <w:tblStylePr w:type="firstRow">
      <w:rPr>
        <w:b/>
        <w:bCs/>
      </w:rPr>
      <w:tblPr/>
      <w:tcPr>
        <w:tcBorders>
          <w:bottom w:val="single" w:sz="12" w:space="0" w:color="E0E4E6" w:themeColor="accent6" w:themeTint="99"/>
        </w:tcBorders>
      </w:tcPr>
    </w:tblStylePr>
    <w:tblStylePr w:type="lastRow">
      <w:rPr>
        <w:b/>
        <w:bCs/>
      </w:rPr>
      <w:tblPr/>
      <w:tcPr>
        <w:tcBorders>
          <w:top w:val="double" w:sz="2" w:space="0" w:color="E0E4E6"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4F77CB"/>
    <w:pPr>
      <w:spacing w:after="100"/>
    </w:pPr>
  </w:style>
  <w:style w:type="paragraph" w:styleId="TOC2">
    <w:name w:val="toc 2"/>
    <w:basedOn w:val="Normal"/>
    <w:next w:val="Normal"/>
    <w:uiPriority w:val="39"/>
    <w:semiHidden/>
    <w:rsid w:val="004F77CB"/>
    <w:pPr>
      <w:spacing w:after="100"/>
      <w:ind w:left="220"/>
    </w:pPr>
  </w:style>
  <w:style w:type="paragraph" w:styleId="TOC3">
    <w:name w:val="toc 3"/>
    <w:basedOn w:val="Normal"/>
    <w:next w:val="Normal"/>
    <w:uiPriority w:val="39"/>
    <w:semiHidden/>
    <w:rsid w:val="004F77CB"/>
    <w:pPr>
      <w:spacing w:after="100"/>
      <w:ind w:left="440"/>
    </w:pPr>
  </w:style>
  <w:style w:type="paragraph" w:styleId="TOC4">
    <w:name w:val="toc 4"/>
    <w:basedOn w:val="Normal"/>
    <w:next w:val="Normal"/>
    <w:uiPriority w:val="39"/>
    <w:semiHidden/>
    <w:rsid w:val="004F77CB"/>
    <w:pPr>
      <w:spacing w:after="100"/>
      <w:ind w:left="660"/>
    </w:pPr>
  </w:style>
  <w:style w:type="paragraph" w:styleId="TOC5">
    <w:name w:val="toc 5"/>
    <w:basedOn w:val="Normal"/>
    <w:next w:val="Normal"/>
    <w:uiPriority w:val="39"/>
    <w:semiHidden/>
    <w:rsid w:val="004F77CB"/>
    <w:pPr>
      <w:spacing w:after="100"/>
      <w:ind w:left="880"/>
    </w:pPr>
  </w:style>
  <w:style w:type="paragraph" w:styleId="TOC6">
    <w:name w:val="toc 6"/>
    <w:basedOn w:val="Normal"/>
    <w:next w:val="Normal"/>
    <w:uiPriority w:val="39"/>
    <w:semiHidden/>
    <w:rsid w:val="004F77CB"/>
    <w:pPr>
      <w:spacing w:after="100"/>
      <w:ind w:left="1100"/>
    </w:pPr>
  </w:style>
  <w:style w:type="paragraph" w:styleId="TOC7">
    <w:name w:val="toc 7"/>
    <w:basedOn w:val="Normal"/>
    <w:next w:val="Normal"/>
    <w:uiPriority w:val="39"/>
    <w:semiHidden/>
    <w:rsid w:val="004F77CB"/>
    <w:pPr>
      <w:spacing w:after="100"/>
      <w:ind w:left="1320"/>
    </w:pPr>
  </w:style>
  <w:style w:type="paragraph" w:styleId="TOC8">
    <w:name w:val="toc 8"/>
    <w:basedOn w:val="Normal"/>
    <w:next w:val="Normal"/>
    <w:uiPriority w:val="39"/>
    <w:semiHidden/>
    <w:rsid w:val="004F77CB"/>
    <w:pPr>
      <w:spacing w:after="100"/>
      <w:ind w:left="1540"/>
    </w:pPr>
  </w:style>
  <w:style w:type="paragraph" w:styleId="TOC9">
    <w:name w:val="toc 9"/>
    <w:basedOn w:val="Normal"/>
    <w:next w:val="Normal"/>
    <w:uiPriority w:val="39"/>
    <w:semiHidden/>
    <w:rsid w:val="004F77CB"/>
    <w:pPr>
      <w:spacing w:after="100"/>
      <w:ind w:left="1760"/>
    </w:pPr>
  </w:style>
  <w:style w:type="character" w:customStyle="1" w:styleId="Heading1Char">
    <w:name w:val="Heading 1 Char"/>
    <w:basedOn w:val="DefaultParagraphFont"/>
    <w:link w:val="Heading1"/>
    <w:uiPriority w:val="2"/>
    <w:rsid w:val="00B67B9E"/>
    <w:rPr>
      <w:color w:val="22272B" w:themeColor="text1"/>
      <w:sz w:val="36"/>
    </w:rPr>
  </w:style>
  <w:style w:type="paragraph" w:styleId="TOCHeading">
    <w:name w:val="TOC Heading"/>
    <w:basedOn w:val="Heading1"/>
    <w:next w:val="Normal"/>
    <w:uiPriority w:val="39"/>
    <w:semiHidden/>
    <w:rsid w:val="004F77CB"/>
    <w:pPr>
      <w:outlineLvl w:val="9"/>
    </w:pPr>
  </w:style>
  <w:style w:type="paragraph" w:styleId="Index1">
    <w:name w:val="index 1"/>
    <w:basedOn w:val="Normal"/>
    <w:next w:val="Normal"/>
    <w:uiPriority w:val="99"/>
    <w:semiHidden/>
    <w:rsid w:val="004F77CB"/>
    <w:pPr>
      <w:ind w:left="220" w:hanging="220"/>
    </w:pPr>
  </w:style>
  <w:style w:type="paragraph" w:styleId="Index2">
    <w:name w:val="index 2"/>
    <w:basedOn w:val="Normal"/>
    <w:next w:val="Normal"/>
    <w:uiPriority w:val="99"/>
    <w:semiHidden/>
    <w:rsid w:val="004F77CB"/>
    <w:pPr>
      <w:ind w:left="440" w:hanging="220"/>
    </w:pPr>
  </w:style>
  <w:style w:type="paragraph" w:styleId="Index3">
    <w:name w:val="index 3"/>
    <w:basedOn w:val="Normal"/>
    <w:next w:val="Normal"/>
    <w:uiPriority w:val="99"/>
    <w:semiHidden/>
    <w:rsid w:val="004F77CB"/>
    <w:pPr>
      <w:ind w:left="660" w:hanging="220"/>
    </w:pPr>
  </w:style>
  <w:style w:type="paragraph" w:styleId="Index4">
    <w:name w:val="index 4"/>
    <w:basedOn w:val="Normal"/>
    <w:next w:val="Normal"/>
    <w:uiPriority w:val="99"/>
    <w:semiHidden/>
    <w:rsid w:val="004F77CB"/>
    <w:pPr>
      <w:ind w:left="880" w:hanging="220"/>
    </w:pPr>
  </w:style>
  <w:style w:type="paragraph" w:styleId="Index5">
    <w:name w:val="index 5"/>
    <w:basedOn w:val="Normal"/>
    <w:next w:val="Normal"/>
    <w:uiPriority w:val="99"/>
    <w:semiHidden/>
    <w:rsid w:val="004F77CB"/>
    <w:pPr>
      <w:ind w:left="1100" w:hanging="220"/>
    </w:pPr>
  </w:style>
  <w:style w:type="paragraph" w:styleId="Index6">
    <w:name w:val="index 6"/>
    <w:basedOn w:val="Normal"/>
    <w:next w:val="Normal"/>
    <w:uiPriority w:val="99"/>
    <w:semiHidden/>
    <w:rsid w:val="004F77CB"/>
    <w:pPr>
      <w:ind w:left="1320" w:hanging="220"/>
    </w:pPr>
  </w:style>
  <w:style w:type="paragraph" w:styleId="Index7">
    <w:name w:val="index 7"/>
    <w:basedOn w:val="Normal"/>
    <w:next w:val="Normal"/>
    <w:uiPriority w:val="99"/>
    <w:semiHidden/>
    <w:rsid w:val="004F77CB"/>
    <w:pPr>
      <w:ind w:left="1540" w:hanging="220"/>
    </w:pPr>
  </w:style>
  <w:style w:type="paragraph" w:styleId="Index8">
    <w:name w:val="index 8"/>
    <w:basedOn w:val="Normal"/>
    <w:next w:val="Normal"/>
    <w:uiPriority w:val="99"/>
    <w:semiHidden/>
    <w:rsid w:val="004F77CB"/>
    <w:pPr>
      <w:ind w:left="1760" w:hanging="220"/>
    </w:pPr>
  </w:style>
  <w:style w:type="paragraph" w:styleId="Index9">
    <w:name w:val="index 9"/>
    <w:basedOn w:val="Normal"/>
    <w:next w:val="Normal"/>
    <w:uiPriority w:val="99"/>
    <w:semiHidden/>
    <w:rsid w:val="004F77CB"/>
    <w:pPr>
      <w:ind w:left="1980" w:hanging="220"/>
    </w:pPr>
  </w:style>
  <w:style w:type="paragraph" w:styleId="Header">
    <w:name w:val="header"/>
    <w:link w:val="HeaderChar"/>
    <w:uiPriority w:val="99"/>
    <w:rsid w:val="00C165A5"/>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C165A5"/>
    <w:rPr>
      <w:color w:val="22272B" w:themeColor="text1"/>
      <w:sz w:val="18"/>
    </w:rPr>
  </w:style>
  <w:style w:type="paragraph" w:styleId="Footer">
    <w:name w:val="footer"/>
    <w:link w:val="FooterChar"/>
    <w:uiPriority w:val="99"/>
    <w:rsid w:val="004F6D4C"/>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4F6D4C"/>
    <w:rPr>
      <w:color w:val="22272B" w:themeColor="text1"/>
      <w:sz w:val="18"/>
    </w:rPr>
  </w:style>
  <w:style w:type="character" w:styleId="PlaceholderText">
    <w:name w:val="Placeholder Text"/>
    <w:basedOn w:val="DefaultParagraphFont"/>
    <w:uiPriority w:val="99"/>
    <w:semiHidden/>
    <w:rsid w:val="004F77CB"/>
    <w:rPr>
      <w:color w:val="808080"/>
    </w:rPr>
  </w:style>
  <w:style w:type="paragraph" w:styleId="Date">
    <w:name w:val="Date"/>
    <w:link w:val="DateChar"/>
    <w:uiPriority w:val="3"/>
    <w:qFormat/>
    <w:rsid w:val="000E2ED1"/>
    <w:pPr>
      <w:spacing w:before="360" w:after="360" w:line="240" w:lineRule="auto"/>
      <w:contextualSpacing/>
    </w:pPr>
    <w:rPr>
      <w:rFonts w:asciiTheme="majorHAnsi" w:eastAsia="Calibri" w:hAnsiTheme="majorHAnsi" w:cs="Calibri"/>
      <w:color w:val="22272B" w:themeColor="text1"/>
      <w:szCs w:val="20"/>
    </w:rPr>
  </w:style>
  <w:style w:type="character" w:styleId="Emphasis">
    <w:name w:val="Emphasis"/>
    <w:aliases w:val="Italic"/>
    <w:basedOn w:val="DefaultParagraphFont"/>
    <w:uiPriority w:val="19"/>
    <w:qFormat/>
    <w:rsid w:val="004F77CB"/>
    <w:rPr>
      <w:i/>
      <w:iCs/>
    </w:rPr>
  </w:style>
  <w:style w:type="character" w:styleId="Strong">
    <w:name w:val="Strong"/>
    <w:aliases w:val="Bold"/>
    <w:basedOn w:val="DefaultParagraphFont"/>
    <w:uiPriority w:val="22"/>
    <w:qFormat/>
    <w:rsid w:val="004F77CB"/>
    <w:rPr>
      <w:b/>
      <w:bCs/>
    </w:rPr>
  </w:style>
  <w:style w:type="paragraph" w:styleId="ListBullet">
    <w:name w:val="List Bullet"/>
    <w:uiPriority w:val="10"/>
    <w:qFormat/>
    <w:rsid w:val="00F54B50"/>
    <w:pPr>
      <w:numPr>
        <w:numId w:val="25"/>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7A3BC4"/>
    <w:pPr>
      <w:numPr>
        <w:numId w:val="26"/>
      </w:numPr>
      <w:suppressAutoHyphens/>
      <w:spacing w:before="120" w:after="120" w:line="240" w:lineRule="auto"/>
    </w:pPr>
    <w:rPr>
      <w:color w:val="22272B" w:themeColor="text1"/>
    </w:rPr>
  </w:style>
  <w:style w:type="paragraph" w:styleId="FootnoteText">
    <w:name w:val="footnote text"/>
    <w:link w:val="FootnoteTextChar"/>
    <w:uiPriority w:val="99"/>
    <w:rsid w:val="004F77CB"/>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rsid w:val="004F77CB"/>
    <w:rPr>
      <w:color w:val="22272B" w:themeColor="text1"/>
      <w:sz w:val="20"/>
      <w:szCs w:val="20"/>
    </w:rPr>
  </w:style>
  <w:style w:type="character" w:styleId="FootnoteReference">
    <w:name w:val="footnote reference"/>
    <w:basedOn w:val="DefaultParagraphFont"/>
    <w:uiPriority w:val="99"/>
    <w:rsid w:val="004F77CB"/>
    <w:rPr>
      <w:vertAlign w:val="superscript"/>
    </w:rPr>
  </w:style>
  <w:style w:type="paragraph" w:styleId="BodyText">
    <w:name w:val="Body Text"/>
    <w:link w:val="BodyTextChar"/>
    <w:qFormat/>
    <w:rsid w:val="004F6D4C"/>
    <w:pPr>
      <w:suppressAutoHyphens/>
      <w:spacing w:before="120" w:after="120" w:line="240" w:lineRule="auto"/>
    </w:pPr>
    <w:rPr>
      <w:color w:val="22272B" w:themeColor="text1"/>
    </w:rPr>
  </w:style>
  <w:style w:type="character" w:customStyle="1" w:styleId="BodyTextChar">
    <w:name w:val="Body Text Char"/>
    <w:basedOn w:val="DefaultParagraphFont"/>
    <w:link w:val="BodyText"/>
    <w:rsid w:val="004F6D4C"/>
    <w:rPr>
      <w:color w:val="22272B" w:themeColor="text1"/>
    </w:rPr>
  </w:style>
  <w:style w:type="character" w:customStyle="1" w:styleId="Heading2Char">
    <w:name w:val="Heading 2 Char"/>
    <w:basedOn w:val="DefaultParagraphFont"/>
    <w:link w:val="Heading2"/>
    <w:uiPriority w:val="9"/>
    <w:rsid w:val="00B41773"/>
    <w:rPr>
      <w:color w:val="441170"/>
      <w:sz w:val="36"/>
    </w:rPr>
  </w:style>
  <w:style w:type="character" w:customStyle="1" w:styleId="Heading3Char">
    <w:name w:val="Heading 3 Char"/>
    <w:basedOn w:val="DefaultParagraphFont"/>
    <w:link w:val="Heading3"/>
    <w:uiPriority w:val="9"/>
    <w:rsid w:val="00B41773"/>
    <w:rPr>
      <w:rFonts w:asciiTheme="majorHAnsi" w:hAnsiTheme="majorHAnsi"/>
      <w:color w:val="441170"/>
      <w:sz w:val="28"/>
      <w:szCs w:val="24"/>
    </w:rPr>
  </w:style>
  <w:style w:type="character" w:customStyle="1" w:styleId="Heading4Char">
    <w:name w:val="Heading 4 Char"/>
    <w:basedOn w:val="DefaultParagraphFont"/>
    <w:link w:val="Heading4"/>
    <w:uiPriority w:val="9"/>
    <w:rsid w:val="00B41773"/>
    <w:rPr>
      <w:rFonts w:asciiTheme="majorHAnsi" w:eastAsiaTheme="majorEastAsia" w:hAnsiTheme="majorHAnsi" w:cstheme="majorBidi"/>
      <w:iCs/>
      <w:color w:val="441170"/>
      <w:sz w:val="24"/>
    </w:rPr>
  </w:style>
  <w:style w:type="character" w:customStyle="1" w:styleId="Heading5Char">
    <w:name w:val="Heading 5 Char"/>
    <w:basedOn w:val="DefaultParagraphFont"/>
    <w:link w:val="Heading5"/>
    <w:uiPriority w:val="9"/>
    <w:rsid w:val="00B41773"/>
    <w:rPr>
      <w:rFonts w:asciiTheme="majorHAnsi" w:eastAsiaTheme="majorEastAsia" w:hAnsiTheme="majorHAnsi" w:cstheme="majorBidi"/>
      <w:color w:val="441170"/>
    </w:rPr>
  </w:style>
  <w:style w:type="character" w:customStyle="1" w:styleId="Heading6Char">
    <w:name w:val="Heading 6 Char"/>
    <w:basedOn w:val="DefaultParagraphFont"/>
    <w:link w:val="Heading6"/>
    <w:uiPriority w:val="9"/>
    <w:semiHidden/>
    <w:rsid w:val="004F77CB"/>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4F77CB"/>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4F77CB"/>
    <w:rPr>
      <w:color w:val="22272B" w:themeColor="text1"/>
      <w:u w:val="single"/>
    </w:rPr>
  </w:style>
  <w:style w:type="paragraph" w:styleId="ListBullet2">
    <w:name w:val="List Bullet 2"/>
    <w:uiPriority w:val="10"/>
    <w:qFormat/>
    <w:rsid w:val="0059207E"/>
    <w:pPr>
      <w:numPr>
        <w:numId w:val="16"/>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59207E"/>
    <w:pPr>
      <w:numPr>
        <w:numId w:val="17"/>
      </w:numPr>
      <w:suppressAutoHyphens/>
      <w:spacing w:before="120" w:after="120" w:line="240" w:lineRule="auto"/>
      <w:ind w:left="1071" w:hanging="357"/>
    </w:pPr>
    <w:rPr>
      <w:rFonts w:eastAsia="Arial" w:cs="Times New Roman"/>
      <w:color w:val="22272B" w:themeColor="text1"/>
      <w:szCs w:val="24"/>
      <w:lang w:eastAsia="en-US"/>
    </w:rPr>
  </w:style>
  <w:style w:type="character" w:styleId="PageNumber">
    <w:name w:val="page number"/>
    <w:basedOn w:val="DefaultParagraphFont"/>
    <w:uiPriority w:val="99"/>
    <w:semiHidden/>
    <w:rsid w:val="004F77CB"/>
  </w:style>
  <w:style w:type="paragraph" w:styleId="ListNumber3">
    <w:name w:val="List Number 3"/>
    <w:uiPriority w:val="10"/>
    <w:qFormat/>
    <w:rsid w:val="00F54B50"/>
    <w:pPr>
      <w:numPr>
        <w:numId w:val="20"/>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59207E"/>
    <w:pPr>
      <w:numPr>
        <w:numId w:val="19"/>
      </w:numPr>
      <w:suppressAutoHyphens/>
      <w:spacing w:before="120" w:after="120" w:line="240" w:lineRule="auto"/>
    </w:pPr>
    <w:rPr>
      <w:rFonts w:eastAsia="Arial" w:cs="Times New Roman"/>
      <w:color w:val="22272B" w:themeColor="text1"/>
      <w:szCs w:val="24"/>
      <w:lang w:eastAsia="en-US"/>
    </w:rPr>
  </w:style>
  <w:style w:type="paragraph" w:customStyle="1" w:styleId="DescriptororName">
    <w:name w:val="Descriptor or Name"/>
    <w:next w:val="Normal"/>
    <w:uiPriority w:val="1"/>
    <w:qFormat/>
    <w:rsid w:val="00576CCF"/>
    <w:pPr>
      <w:tabs>
        <w:tab w:val="right" w:pos="10206"/>
      </w:tabs>
      <w:suppressAutoHyphens/>
      <w:spacing w:after="720" w:line="240" w:lineRule="auto"/>
      <w:ind w:right="1701"/>
      <w:contextualSpacing/>
    </w:pPr>
    <w:rPr>
      <w:rFonts w:asciiTheme="majorHAnsi" w:hAnsiTheme="majorHAnsi"/>
      <w:color w:val="22272B" w:themeColor="text1"/>
      <w:sz w:val="28"/>
    </w:rPr>
  </w:style>
  <w:style w:type="character" w:customStyle="1" w:styleId="BoldItalic">
    <w:name w:val="Bold Italic"/>
    <w:basedOn w:val="DefaultParagraphFont"/>
    <w:uiPriority w:val="22"/>
    <w:qFormat/>
    <w:rsid w:val="007A3BC4"/>
    <w:rPr>
      <w:b/>
      <w:bCs w:val="0"/>
      <w:i/>
      <w:iCs w:val="0"/>
    </w:rPr>
  </w:style>
  <w:style w:type="table" w:styleId="ListTable3-Accent1">
    <w:name w:val="List Table 3 Accent 1"/>
    <w:basedOn w:val="TableNormal"/>
    <w:uiPriority w:val="48"/>
    <w:rsid w:val="006B423C"/>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table" w:styleId="ListTable3-Accent2">
    <w:name w:val="List Table 3 Accent 2"/>
    <w:basedOn w:val="TableNormal"/>
    <w:uiPriority w:val="48"/>
    <w:rsid w:val="006B423C"/>
    <w:pPr>
      <w:spacing w:after="0" w:line="240" w:lineRule="auto"/>
    </w:pPr>
    <w:tblPr>
      <w:tblStyleRowBandSize w:val="1"/>
      <w:tblStyleColBandSize w:val="1"/>
      <w:tblBorders>
        <w:top w:val="single" w:sz="4" w:space="0" w:color="146CFD" w:themeColor="accent2"/>
        <w:left w:val="single" w:sz="4" w:space="0" w:color="146CFD" w:themeColor="accent2"/>
        <w:bottom w:val="single" w:sz="4" w:space="0" w:color="146CFD" w:themeColor="accent2"/>
        <w:right w:val="single" w:sz="4" w:space="0" w:color="146CFD" w:themeColor="accent2"/>
      </w:tblBorders>
    </w:tblPr>
    <w:tblStylePr w:type="firstRow">
      <w:rPr>
        <w:b/>
        <w:bCs/>
        <w:color w:val="FFFFFF" w:themeColor="background1"/>
      </w:rPr>
      <w:tblPr/>
      <w:tcPr>
        <w:shd w:val="clear" w:color="auto" w:fill="146CFD" w:themeFill="accent2"/>
      </w:tcPr>
    </w:tblStylePr>
    <w:tblStylePr w:type="lastRow">
      <w:rPr>
        <w:b/>
        <w:bCs/>
      </w:rPr>
      <w:tblPr/>
      <w:tcPr>
        <w:tcBorders>
          <w:top w:val="double" w:sz="4" w:space="0" w:color="146CF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46CFD" w:themeColor="accent2"/>
          <w:right w:val="single" w:sz="4" w:space="0" w:color="146CFD" w:themeColor="accent2"/>
        </w:tcBorders>
      </w:tcPr>
    </w:tblStylePr>
    <w:tblStylePr w:type="band1Horz">
      <w:tblPr/>
      <w:tcPr>
        <w:tcBorders>
          <w:top w:val="single" w:sz="4" w:space="0" w:color="146CFD" w:themeColor="accent2"/>
          <w:bottom w:val="single" w:sz="4" w:space="0" w:color="146CF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2"/>
          <w:left w:val="nil"/>
        </w:tcBorders>
      </w:tcPr>
    </w:tblStylePr>
    <w:tblStylePr w:type="swCell">
      <w:tblPr/>
      <w:tcPr>
        <w:tcBorders>
          <w:top w:val="double" w:sz="4" w:space="0" w:color="146CFD" w:themeColor="accent2"/>
          <w:right w:val="nil"/>
        </w:tcBorders>
      </w:tcPr>
    </w:tblStylePr>
  </w:style>
  <w:style w:type="table" w:styleId="ListTable3-Accent3">
    <w:name w:val="List Table 3 Accent 3"/>
    <w:basedOn w:val="TableNormal"/>
    <w:uiPriority w:val="48"/>
    <w:rsid w:val="006B423C"/>
    <w:pPr>
      <w:spacing w:after="0" w:line="240" w:lineRule="auto"/>
    </w:pPr>
    <w:rPr>
      <w:sz w:val="20"/>
    </w:rPr>
    <w:tblPr>
      <w:tblStyleRowBandSize w:val="1"/>
      <w:tblStyleColBandSize w:val="1"/>
      <w:tbl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blBorders>
    </w:tblPr>
    <w:tcPr>
      <w:shd w:val="clear" w:color="auto" w:fill="FFFFFF" w:themeFill="background1"/>
    </w:tcPr>
    <w:tblStylePr w:type="firstRow">
      <w:rPr>
        <w:b/>
        <w:bCs/>
        <w:color w:val="FFFFFF" w:themeColor="background1"/>
      </w:rPr>
      <w:tblPr/>
      <w:trPr>
        <w:tblHeader/>
      </w:tr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8CE0FF" w:themeFill="accent3"/>
      </w:tcPr>
    </w:tblStylePr>
    <w:tblStylePr w:type="lastRow">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fir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lastCol">
      <w:rPr>
        <w:b w:val="0"/>
        <w:bCs/>
      </w:rPr>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shd w:val="clear" w:color="auto" w:fill="FFFFFF" w:themeFill="background1"/>
      </w:tcPr>
    </w:tblStylePr>
    <w:tblStylePr w:type="band1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Vert">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1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band2Horz">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n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e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tblStylePr w:type="swCell">
      <w:tblPr/>
      <w:tcPr>
        <w:tcBorders>
          <w:top w:val="single" w:sz="4" w:space="0" w:color="0090C6" w:themeColor="accent3" w:themeShade="80"/>
          <w:left w:val="single" w:sz="4" w:space="0" w:color="0090C6" w:themeColor="accent3" w:themeShade="80"/>
          <w:bottom w:val="single" w:sz="4" w:space="0" w:color="0090C6" w:themeColor="accent3" w:themeShade="80"/>
          <w:right w:val="single" w:sz="4" w:space="0" w:color="0090C6" w:themeColor="accent3" w:themeShade="80"/>
          <w:insideH w:val="single" w:sz="4" w:space="0" w:color="0090C6" w:themeColor="accent3" w:themeShade="80"/>
          <w:insideV w:val="single" w:sz="4" w:space="0" w:color="0090C6" w:themeColor="accent3" w:themeShade="80"/>
        </w:tcBorders>
      </w:tcPr>
    </w:tblStylePr>
  </w:style>
  <w:style w:type="table" w:styleId="ListTable3-Accent4">
    <w:name w:val="List Table 3 Accent 4"/>
    <w:basedOn w:val="TableNormal"/>
    <w:uiPriority w:val="48"/>
    <w:rsid w:val="006B423C"/>
    <w:pPr>
      <w:spacing w:after="0" w:line="240" w:lineRule="auto"/>
    </w:pPr>
    <w:rPr>
      <w:sz w:val="20"/>
    </w:rPr>
    <w:tblPr>
      <w:tblStyleRowBandSize w:val="1"/>
      <w:tblStyleColBandSize w:val="1"/>
      <w:tbl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blBorders>
    </w:tblPr>
    <w:tcPr>
      <w:shd w:val="clear" w:color="auto" w:fill="FFFFFF" w:themeFill="background1"/>
    </w:tcPr>
    <w:tblStylePr w:type="firstRow">
      <w:rPr>
        <w:b/>
        <w:bCs/>
        <w:color w:val="FFFFFF" w:themeColor="background1"/>
      </w:rPr>
      <w:tblPr/>
      <w:trPr>
        <w:tblHeader/>
      </w:tr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CBEDFD" w:themeFill="accent4"/>
      </w:tcPr>
    </w:tblStylePr>
    <w:tblStylePr w:type="lastRow">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fir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lastCol">
      <w:rPr>
        <w:b w:val="0"/>
        <w:bCs/>
      </w:rPr>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shd w:val="clear" w:color="auto" w:fill="FFFFFF" w:themeFill="background1"/>
      </w:tcPr>
    </w:tblStylePr>
    <w:tblStylePr w:type="band1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Vert">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1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band2Horz">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n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e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tblStylePr w:type="swCell">
      <w:tblPr/>
      <w:tcPr>
        <w:tcBorders>
          <w:top w:val="single" w:sz="4" w:space="0" w:color="8CE0FF" w:themeColor="accent3"/>
          <w:left w:val="single" w:sz="4" w:space="0" w:color="8CE0FF" w:themeColor="accent3"/>
          <w:bottom w:val="single" w:sz="4" w:space="0" w:color="8CE0FF" w:themeColor="accent3"/>
          <w:right w:val="single" w:sz="4" w:space="0" w:color="8CE0FF" w:themeColor="accent3"/>
          <w:insideH w:val="single" w:sz="4" w:space="0" w:color="8CE0FF" w:themeColor="accent3"/>
          <w:insideV w:val="single" w:sz="4" w:space="0" w:color="8CE0FF" w:themeColor="accent3"/>
        </w:tcBorders>
      </w:tcPr>
    </w:tblStylePr>
  </w:style>
  <w:style w:type="table" w:styleId="ListTable3-Accent5">
    <w:name w:val="List Table 3 Accent 5"/>
    <w:basedOn w:val="TableNormal"/>
    <w:uiPriority w:val="48"/>
    <w:rsid w:val="006B423C"/>
    <w:pPr>
      <w:spacing w:after="0" w:line="240" w:lineRule="auto"/>
    </w:pPr>
    <w:rPr>
      <w:sz w:val="20"/>
    </w:r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blBorders>
    </w:tblPr>
    <w:tcPr>
      <w:shd w:val="clear" w:color="auto" w:fill="FFFFFF" w:themeFill="background1"/>
    </w:tcPr>
    <w:tblStylePr w:type="firstRow">
      <w:rPr>
        <w:b/>
        <w:bCs/>
        <w:color w:val="FFFFFF" w:themeColor="background1"/>
      </w:rPr>
      <w:tblPr/>
      <w:trPr>
        <w:tblHeader/>
      </w:trPr>
      <w:tcPr>
        <w:shd w:val="clear" w:color="auto" w:fill="F2F2F2" w:themeFill="background1" w:themeFillShade="F2"/>
      </w:tcPr>
    </w:tblStylePr>
    <w:tblStylePr w:type="lastRow">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firstCol">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lastCol">
      <w:rPr>
        <w:b w:val="0"/>
        <w:bCs/>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1Vert">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2Vert">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1Horz">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band2Horz">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neCell">
      <w:tblPr/>
      <w:tcPr>
        <w:shd w:val="clear" w:color="auto" w:fill="F2F2F2" w:themeFill="background1" w:themeFillShade="F2"/>
      </w:tcPr>
    </w:tblStylePr>
    <w:tblStylePr w:type="nwCell">
      <w:tblPr/>
      <w:tcPr>
        <w:shd w:val="clear" w:color="auto" w:fill="F2F2F2" w:themeFill="background1" w:themeFillShade="F2"/>
      </w:tcPr>
    </w:tblStylePr>
    <w:tblStylePr w:type="seCell">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tblStylePr w:type="swCell">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single" w:sz="4" w:space="0" w:color="22272B" w:themeColor="text1"/>
          <w:insideV w:val="single" w:sz="4" w:space="0" w:color="22272B" w:themeColor="text1"/>
        </w:tcBorders>
        <w:shd w:val="clear" w:color="auto" w:fill="FFFFFF" w:themeFill="background1"/>
      </w:tcPr>
    </w:tblStylePr>
  </w:style>
  <w:style w:type="table" w:styleId="ListTable3-Accent6">
    <w:name w:val="List Table 3 Accent 6"/>
    <w:basedOn w:val="TableNormal"/>
    <w:uiPriority w:val="48"/>
    <w:rsid w:val="006B423C"/>
    <w:pPr>
      <w:spacing w:after="0" w:line="240" w:lineRule="auto"/>
    </w:pPr>
    <w:rPr>
      <w:sz w:val="20"/>
    </w:rPr>
    <w:tblPr>
      <w:tblStyleRowBandSize w:val="1"/>
      <w:tblStyleColBandSize w:val="1"/>
      <w:tbl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blBorders>
    </w:tblPr>
    <w:tcPr>
      <w:shd w:val="clear" w:color="auto" w:fill="FFFFFF" w:themeFill="background1"/>
    </w:tcPr>
    <w:tblStylePr w:type="firstRow">
      <w:rPr>
        <w:b/>
        <w:bCs/>
        <w:color w:val="FFFFFF" w:themeColor="background1"/>
      </w:rPr>
      <w:tblPr/>
      <w:trPr>
        <w:tblHeader/>
      </w:trPr>
      <w:tcPr>
        <w:shd w:val="clear" w:color="auto" w:fill="CDD3D6" w:themeFill="accent6"/>
      </w:tcPr>
    </w:tblStylePr>
    <w:tblStylePr w:type="lastRow">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fir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lastCol">
      <w:rPr>
        <w:b w:val="0"/>
        <w:bCs/>
      </w:rPr>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shd w:val="clear" w:color="auto" w:fill="FFFFFF" w:themeFill="background1"/>
      </w:tcPr>
    </w:tblStylePr>
    <w:tblStylePr w:type="band1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Vert">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1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band2Horz">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n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e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tblStylePr w:type="swCell">
      <w:tblPr/>
      <w:tcPr>
        <w:tcBorders>
          <w:top w:val="single" w:sz="4" w:space="0" w:color="5E6C73" w:themeColor="accent6" w:themeShade="80"/>
          <w:left w:val="single" w:sz="4" w:space="0" w:color="5E6C73" w:themeColor="accent6" w:themeShade="80"/>
          <w:bottom w:val="single" w:sz="4" w:space="0" w:color="5E6C73" w:themeColor="accent6" w:themeShade="80"/>
          <w:right w:val="single" w:sz="4" w:space="0" w:color="5E6C73" w:themeColor="accent6" w:themeShade="80"/>
          <w:insideH w:val="single" w:sz="4" w:space="0" w:color="5E6C73" w:themeColor="accent6" w:themeShade="80"/>
          <w:insideV w:val="single" w:sz="4" w:space="0" w:color="5E6C73" w:themeColor="accent6" w:themeShade="80"/>
        </w:tcBorders>
      </w:tcPr>
    </w:tblStylePr>
  </w:style>
  <w:style w:type="character" w:customStyle="1" w:styleId="DateChar">
    <w:name w:val="Date Char"/>
    <w:basedOn w:val="DefaultParagraphFont"/>
    <w:link w:val="Date"/>
    <w:uiPriority w:val="3"/>
    <w:rsid w:val="000E2ED1"/>
    <w:rPr>
      <w:rFonts w:asciiTheme="majorHAnsi" w:eastAsia="Calibri" w:hAnsiTheme="majorHAnsi" w:cs="Calibri"/>
      <w:color w:val="22272B" w:themeColor="text1"/>
      <w:szCs w:val="20"/>
    </w:rPr>
  </w:style>
  <w:style w:type="paragraph" w:customStyle="1" w:styleId="HeaderFooterSensitivityLabelSpace">
    <w:name w:val="Header&amp;Footer Sensitivity Label Space"/>
    <w:next w:val="Header"/>
    <w:uiPriority w:val="99"/>
    <w:rsid w:val="00997A69"/>
    <w:pPr>
      <w:suppressAutoHyphens/>
      <w:spacing w:before="240" w:after="240" w:line="240" w:lineRule="auto"/>
    </w:pPr>
    <w:rPr>
      <w:color w:val="D7153A" w:themeColor="text2"/>
    </w:rPr>
  </w:style>
  <w:style w:type="character" w:customStyle="1" w:styleId="PublicSansLight">
    <w:name w:val="Public Sans Light"/>
    <w:basedOn w:val="DefaultParagraphFont"/>
    <w:uiPriority w:val="19"/>
    <w:qFormat/>
    <w:rsid w:val="00116733"/>
    <w:rPr>
      <w:rFonts w:asciiTheme="minorHAnsi" w:hAnsiTheme="minorHAnsi"/>
    </w:rPr>
  </w:style>
  <w:style w:type="paragraph" w:customStyle="1" w:styleId="DocumentType">
    <w:name w:val="Document Type"/>
    <w:next w:val="Heading1"/>
    <w:uiPriority w:val="2"/>
    <w:qFormat/>
    <w:rsid w:val="00927174"/>
    <w:pPr>
      <w:suppressAutoHyphens/>
      <w:spacing w:after="0" w:line="240" w:lineRule="auto"/>
      <w:contextualSpacing/>
    </w:pPr>
    <w:rPr>
      <w:rFonts w:asciiTheme="majorHAnsi" w:hAnsiTheme="majorHAnsi"/>
      <w:color w:val="22272B" w:themeColor="text1"/>
      <w:sz w:val="36"/>
    </w:rPr>
  </w:style>
  <w:style w:type="paragraph" w:styleId="Caption">
    <w:name w:val="caption"/>
    <w:next w:val="BodyText"/>
    <w:uiPriority w:val="35"/>
    <w:qFormat/>
    <w:rsid w:val="00350D4C"/>
    <w:pPr>
      <w:suppressAutoHyphens/>
      <w:spacing w:before="120" w:after="120" w:line="240" w:lineRule="auto"/>
    </w:pPr>
    <w:rPr>
      <w:iCs/>
      <w:color w:val="002664" w:themeColor="accent1"/>
      <w:sz w:val="18"/>
      <w:szCs w:val="18"/>
    </w:rPr>
  </w:style>
  <w:style w:type="character" w:styleId="UnresolvedMention">
    <w:name w:val="Unresolved Mention"/>
    <w:basedOn w:val="DefaultParagraphFont"/>
    <w:uiPriority w:val="99"/>
    <w:semiHidden/>
    <w:unhideWhenUsed/>
    <w:rsid w:val="00350D4C"/>
    <w:rPr>
      <w:color w:val="605E5C"/>
      <w:shd w:val="clear" w:color="auto" w:fill="E1DFDD"/>
    </w:rPr>
  </w:style>
  <w:style w:type="paragraph" w:styleId="ListParagraph">
    <w:name w:val="List Paragraph"/>
    <w:basedOn w:val="Normal"/>
    <w:uiPriority w:val="34"/>
    <w:qFormat/>
    <w:rsid w:val="00350D4C"/>
    <w:pPr>
      <w:widowControl w:val="0"/>
      <w:autoSpaceDE w:val="0"/>
      <w:autoSpaceDN w:val="0"/>
      <w:adjustRightInd w:val="0"/>
      <w:spacing w:after="120"/>
      <w:ind w:left="720"/>
      <w:contextualSpacing/>
      <w:textAlignment w:val="center"/>
    </w:pPr>
    <w:rPr>
      <w:rFonts w:ascii="Public Sans Light" w:hAnsi="Public Sans Light" w:cs="Arial"/>
      <w:color w:val="22272B"/>
    </w:rPr>
  </w:style>
  <w:style w:type="paragraph" w:customStyle="1" w:styleId="Listnumbered">
    <w:name w:val="List numbered"/>
    <w:basedOn w:val="Normal"/>
    <w:qFormat/>
    <w:rsid w:val="00391824"/>
    <w:pPr>
      <w:keepNext/>
      <w:numPr>
        <w:numId w:val="29"/>
      </w:numPr>
      <w:spacing w:after="120"/>
    </w:pPr>
    <w:rPr>
      <w:lang w:val="en-US"/>
    </w:rPr>
  </w:style>
  <w:style w:type="paragraph" w:customStyle="1" w:styleId="Tabletext">
    <w:name w:val="Table text"/>
    <w:basedOn w:val="Normal"/>
    <w:qFormat/>
    <w:rsid w:val="00391824"/>
    <w:rPr>
      <w:lang w:eastAsia="en-US"/>
    </w:rPr>
  </w:style>
  <w:style w:type="table" w:customStyle="1" w:styleId="DPCtable">
    <w:name w:val="DPC table"/>
    <w:basedOn w:val="TableNormal"/>
    <w:uiPriority w:val="99"/>
    <w:rsid w:val="00391824"/>
    <w:pPr>
      <w:spacing w:after="0" w:line="240" w:lineRule="auto"/>
    </w:pPr>
    <w:rPr>
      <w:rFonts w:eastAsia="Times New Roman" w:cs="Times New Roman"/>
      <w:sz w:val="20"/>
      <w:szCs w:val="20"/>
      <w:lang w:eastAsia="en-AU"/>
    </w:rPr>
    <w:tblPr>
      <w:tblBorders>
        <w:bottom w:val="single" w:sz="4" w:space="0" w:color="BFBFBF" w:themeColor="background1" w:themeShade="BF"/>
        <w:insideH w:val="single" w:sz="4" w:space="0" w:color="BFBFBF" w:themeColor="background1" w:themeShade="BF"/>
      </w:tblBorders>
      <w:tblCellMar>
        <w:top w:w="170" w:type="dxa"/>
        <w:left w:w="0" w:type="dxa"/>
        <w:bottom w:w="170" w:type="dxa"/>
        <w:right w:w="85" w:type="dxa"/>
      </w:tblCellMar>
    </w:tblPr>
    <w:tblStylePr w:type="firstRow">
      <w:rPr>
        <w:b/>
        <w:color w:val="002664" w:themeColor="accent1"/>
      </w:rPr>
      <w:tblPr/>
      <w:trPr>
        <w:tblHeader/>
      </w:trPr>
    </w:tblStylePr>
  </w:style>
  <w:style w:type="table" w:customStyle="1" w:styleId="DPCtable3">
    <w:name w:val="DPC table3"/>
    <w:basedOn w:val="TableNormal"/>
    <w:uiPriority w:val="99"/>
    <w:rsid w:val="00C3595D"/>
    <w:pPr>
      <w:spacing w:after="0" w:line="240" w:lineRule="auto"/>
    </w:pPr>
    <w:rPr>
      <w:rFonts w:eastAsia="Times New Roman" w:cs="Times New Roman"/>
      <w:sz w:val="20"/>
      <w:szCs w:val="20"/>
      <w:lang w:eastAsia="en-AU"/>
    </w:rPr>
    <w:tblPr>
      <w:tblBorders>
        <w:bottom w:val="single" w:sz="4" w:space="0" w:color="BFBFBF"/>
        <w:insideH w:val="single" w:sz="4" w:space="0" w:color="BFBFBF"/>
      </w:tblBorders>
      <w:tblCellMar>
        <w:top w:w="170" w:type="dxa"/>
        <w:left w:w="0" w:type="dxa"/>
        <w:bottom w:w="170" w:type="dxa"/>
        <w:right w:w="85" w:type="dxa"/>
      </w:tblCellMar>
    </w:tblPr>
    <w:tblStylePr w:type="firstRow">
      <w:rPr>
        <w:b/>
        <w:color w:val="0A7CB9"/>
      </w:rPr>
      <w:tblPr/>
      <w:trPr>
        <w:tblHeader/>
      </w:trPr>
    </w:tblStylePr>
  </w:style>
  <w:style w:type="table" w:styleId="GridTable6Colorful-Accent5">
    <w:name w:val="Grid Table 6 Colorful Accent 5"/>
    <w:basedOn w:val="TableNormal"/>
    <w:uiPriority w:val="51"/>
    <w:rsid w:val="00C3595D"/>
    <w:pPr>
      <w:spacing w:after="0" w:line="240" w:lineRule="auto"/>
    </w:pPr>
    <w:rPr>
      <w:color w:val="363B3E" w:themeColor="accent5" w:themeShade="BF"/>
    </w:rPr>
    <w:tblPr>
      <w:tblStyleRowBandSize w:val="1"/>
      <w:tblStyleColBandSize w:val="1"/>
      <w:tblBorders>
        <w:top w:val="single" w:sz="4" w:space="0" w:color="8D979C" w:themeColor="accent5" w:themeTint="99"/>
        <w:left w:val="single" w:sz="4" w:space="0" w:color="8D979C" w:themeColor="accent5" w:themeTint="99"/>
        <w:bottom w:val="single" w:sz="4" w:space="0" w:color="8D979C" w:themeColor="accent5" w:themeTint="99"/>
        <w:right w:val="single" w:sz="4" w:space="0" w:color="8D979C" w:themeColor="accent5" w:themeTint="99"/>
        <w:insideH w:val="single" w:sz="4" w:space="0" w:color="8D979C" w:themeColor="accent5" w:themeTint="99"/>
        <w:insideV w:val="single" w:sz="4" w:space="0" w:color="8D979C" w:themeColor="accent5" w:themeTint="99"/>
      </w:tblBorders>
    </w:tblPr>
    <w:tblStylePr w:type="firstRow">
      <w:rPr>
        <w:b/>
        <w:bCs/>
      </w:rPr>
      <w:tblPr/>
      <w:tcPr>
        <w:tcBorders>
          <w:bottom w:val="single" w:sz="12" w:space="0" w:color="8D979C" w:themeColor="accent5" w:themeTint="99"/>
        </w:tcBorders>
      </w:tcPr>
    </w:tblStylePr>
    <w:tblStylePr w:type="lastRow">
      <w:rPr>
        <w:b/>
        <w:bCs/>
      </w:rPr>
      <w:tblPr/>
      <w:tcPr>
        <w:tcBorders>
          <w:top w:val="double" w:sz="4" w:space="0" w:color="8D979C" w:themeColor="accent5" w:themeTint="99"/>
        </w:tcBorders>
      </w:tcPr>
    </w:tblStylePr>
    <w:tblStylePr w:type="firstCol">
      <w:rPr>
        <w:b/>
        <w:bCs/>
      </w:rPr>
    </w:tblStylePr>
    <w:tblStylePr w:type="lastCol">
      <w:rPr>
        <w:b/>
        <w:bCs/>
      </w:rPr>
    </w:tblStylePr>
    <w:tblStylePr w:type="band1Vert">
      <w:tblPr/>
      <w:tcPr>
        <w:shd w:val="clear" w:color="auto" w:fill="D9DCDE" w:themeFill="accent5" w:themeFillTint="33"/>
      </w:tcPr>
    </w:tblStylePr>
    <w:tblStylePr w:type="band1Horz">
      <w:tblPr/>
      <w:tcPr>
        <w:shd w:val="clear" w:color="auto" w:fill="D9DCDE" w:themeFill="accent5" w:themeFillTint="33"/>
      </w:tcPr>
    </w:tblStylePr>
  </w:style>
  <w:style w:type="paragraph" w:customStyle="1" w:styleId="ReleasedDate">
    <w:name w:val="Released Date"/>
    <w:uiPriority w:val="3"/>
    <w:qFormat/>
    <w:rsid w:val="00A1587A"/>
    <w:pPr>
      <w:suppressAutoHyphens/>
      <w:spacing w:before="360" w:after="360" w:line="240" w:lineRule="auto"/>
      <w:contextualSpacing/>
    </w:pPr>
    <w:rPr>
      <w:rFonts w:asciiTheme="majorHAnsi" w:hAnsiTheme="majorHAnsi"/>
      <w:color w:val="22272B" w:themeColor="text1"/>
    </w:rPr>
  </w:style>
  <w:style w:type="paragraph" w:customStyle="1" w:styleId="Introduction">
    <w:name w:val="Introduction"/>
    <w:next w:val="BodyText"/>
    <w:uiPriority w:val="8"/>
    <w:qFormat/>
    <w:rsid w:val="00B41773"/>
    <w:pPr>
      <w:suppressAutoHyphens/>
      <w:spacing w:before="240" w:after="240" w:line="240" w:lineRule="auto"/>
      <w:contextualSpacing/>
    </w:pPr>
    <w:rPr>
      <w:color w:val="441170"/>
      <w:sz w:val="28"/>
    </w:rPr>
  </w:style>
  <w:style w:type="paragraph" w:styleId="Quote">
    <w:name w:val="Quote"/>
    <w:aliases w:val="Pull out quote"/>
    <w:next w:val="BodyText"/>
    <w:link w:val="QuoteChar"/>
    <w:uiPriority w:val="29"/>
    <w:qFormat/>
    <w:rsid w:val="00B41773"/>
    <w:pPr>
      <w:pBdr>
        <w:left w:val="single" w:sz="4" w:space="8" w:color="441170"/>
      </w:pBdr>
      <w:spacing w:before="120" w:after="120" w:line="240" w:lineRule="auto"/>
      <w:ind w:left="227" w:right="57"/>
    </w:pPr>
    <w:rPr>
      <w:noProof/>
      <w:color w:val="441170"/>
      <w:sz w:val="28"/>
    </w:rPr>
  </w:style>
  <w:style w:type="character" w:customStyle="1" w:styleId="QuoteChar">
    <w:name w:val="Quote Char"/>
    <w:aliases w:val="Pull out quote Char"/>
    <w:basedOn w:val="DefaultParagraphFont"/>
    <w:link w:val="Quote"/>
    <w:uiPriority w:val="29"/>
    <w:rsid w:val="00B41773"/>
    <w:rPr>
      <w:noProof/>
      <w:color w:val="441170"/>
      <w:sz w:val="28"/>
    </w:rPr>
  </w:style>
  <w:style w:type="paragraph" w:styleId="Revision">
    <w:name w:val="Revision"/>
    <w:hidden/>
    <w:uiPriority w:val="99"/>
    <w:semiHidden/>
    <w:rsid w:val="002F3A58"/>
    <w:pPr>
      <w:spacing w:after="0" w:line="240" w:lineRule="auto"/>
    </w:pPr>
    <w:rPr>
      <w:rFonts w:ascii="Arial" w:eastAsia="Times New Roman" w:hAnsi="Arial" w:cs="Times New Roman"/>
      <w:szCs w:val="24"/>
      <w:lang w:eastAsia="en-AU"/>
    </w:rPr>
  </w:style>
  <w:style w:type="character" w:styleId="CommentReference">
    <w:name w:val="annotation reference"/>
    <w:basedOn w:val="DefaultParagraphFont"/>
    <w:uiPriority w:val="99"/>
    <w:semiHidden/>
    <w:rsid w:val="002F3A58"/>
    <w:rPr>
      <w:sz w:val="16"/>
      <w:szCs w:val="16"/>
    </w:rPr>
  </w:style>
  <w:style w:type="paragraph" w:styleId="CommentText">
    <w:name w:val="annotation text"/>
    <w:basedOn w:val="Normal"/>
    <w:link w:val="CommentTextChar"/>
    <w:uiPriority w:val="99"/>
    <w:semiHidden/>
    <w:rsid w:val="002F3A58"/>
    <w:rPr>
      <w:sz w:val="20"/>
      <w:szCs w:val="20"/>
    </w:rPr>
  </w:style>
  <w:style w:type="character" w:customStyle="1" w:styleId="CommentTextChar">
    <w:name w:val="Comment Text Char"/>
    <w:basedOn w:val="DefaultParagraphFont"/>
    <w:link w:val="CommentText"/>
    <w:uiPriority w:val="99"/>
    <w:semiHidden/>
    <w:rsid w:val="002F3A58"/>
    <w:rPr>
      <w:rFonts w:ascii="Arial" w:eastAsia="Times New Roman" w:hAnsi="Arial" w:cs="Times New Roman"/>
      <w:sz w:val="20"/>
      <w:szCs w:val="20"/>
      <w:lang w:eastAsia="en-AU"/>
    </w:rPr>
  </w:style>
  <w:style w:type="paragraph" w:styleId="CommentSubject">
    <w:name w:val="annotation subject"/>
    <w:basedOn w:val="CommentText"/>
    <w:next w:val="CommentText"/>
    <w:link w:val="CommentSubjectChar"/>
    <w:uiPriority w:val="99"/>
    <w:semiHidden/>
    <w:unhideWhenUsed/>
    <w:rsid w:val="002F3A58"/>
    <w:rPr>
      <w:b/>
      <w:bCs/>
    </w:rPr>
  </w:style>
  <w:style w:type="character" w:customStyle="1" w:styleId="CommentSubjectChar">
    <w:name w:val="Comment Subject Char"/>
    <w:basedOn w:val="CommentTextChar"/>
    <w:link w:val="CommentSubject"/>
    <w:uiPriority w:val="99"/>
    <w:semiHidden/>
    <w:rsid w:val="002F3A58"/>
    <w:rPr>
      <w:rFonts w:ascii="Arial" w:eastAsia="Times New Roman" w:hAnsi="Arial" w:cs="Times New Roman"/>
      <w:b/>
      <w:bCs/>
      <w:sz w:val="20"/>
      <w:szCs w:val="20"/>
      <w:lang w:eastAsia="en-AU"/>
    </w:rPr>
  </w:style>
  <w:style w:type="table" w:customStyle="1" w:styleId="NSWGovernmentTableAlternate1">
    <w:name w:val="NSW Government Table Alternate1"/>
    <w:basedOn w:val="TableNormal"/>
    <w:uiPriority w:val="99"/>
    <w:rsid w:val="00553FF3"/>
    <w:pPr>
      <w:spacing w:after="0" w:line="240" w:lineRule="auto"/>
    </w:pPr>
    <w:rPr>
      <w:rFonts w:ascii="Public Sans Light" w:eastAsia="Arial" w:hAnsi="Public Sans Light" w:cs="Times New Roman"/>
      <w:sz w:val="18"/>
      <w:szCs w:val="24"/>
      <w:lang w:eastAsia="en-US"/>
    </w:rPr>
    <w:tblPr>
      <w:tblStyleRowBandSize w:val="1"/>
      <w:tblBorders>
        <w:bottom w:val="single" w:sz="4" w:space="0" w:color="auto"/>
      </w:tblBorders>
      <w:tblCellMar>
        <w:top w:w="85" w:type="dxa"/>
        <w:left w:w="0" w:type="dxa"/>
        <w:bottom w:w="85" w:type="dxa"/>
        <w:right w:w="57" w:type="dxa"/>
      </w:tblCellMar>
    </w:tblPr>
    <w:tblStylePr w:type="firstRow">
      <w:rPr>
        <w:rFonts w:ascii="@Yu Gothic UI Light" w:hAnsi="@Yu Gothic UI Light"/>
        <w:b/>
        <w:color w:val="002664"/>
        <w:sz w:val="20"/>
      </w:rPr>
      <w:tblPr/>
      <w:tcPr>
        <w:tcBorders>
          <w:bottom w:val="single" w:sz="4" w:space="0" w:color="auto"/>
        </w:tcBorders>
      </w:tcPr>
    </w:tblStylePr>
    <w:tblStylePr w:type="band2Horz">
      <w:tblPr/>
      <w:tcPr>
        <w:shd w:val="clear" w:color="auto" w:fill="C0C6C9"/>
      </w:tcPr>
    </w:tblStylePr>
  </w:style>
  <w:style w:type="character" w:styleId="Mention">
    <w:name w:val="Mention"/>
    <w:basedOn w:val="DefaultParagraphFont"/>
    <w:uiPriority w:val="99"/>
    <w:unhideWhenUsed/>
    <w:rsid w:val="00762A60"/>
    <w:rPr>
      <w:color w:val="2B579A"/>
      <w:shd w:val="clear" w:color="auto" w:fill="E1DFDD"/>
    </w:rPr>
  </w:style>
  <w:style w:type="table" w:styleId="GridTable1Light">
    <w:name w:val="Grid Table 1 Light"/>
    <w:basedOn w:val="TableNormal"/>
    <w:uiPriority w:val="46"/>
    <w:rsid w:val="001F3420"/>
    <w:pPr>
      <w:spacing w:after="0" w:line="240" w:lineRule="auto"/>
    </w:pPr>
    <w:tblPr>
      <w:tblStyleRowBandSize w:val="1"/>
      <w:tblStyleColBandSize w:val="1"/>
      <w:tblBorders>
        <w:top w:val="single" w:sz="4" w:space="0" w:color="9EA9B2" w:themeColor="text1" w:themeTint="66"/>
        <w:left w:val="single" w:sz="4" w:space="0" w:color="9EA9B2" w:themeColor="text1" w:themeTint="66"/>
        <w:bottom w:val="single" w:sz="4" w:space="0" w:color="9EA9B2" w:themeColor="text1" w:themeTint="66"/>
        <w:right w:val="single" w:sz="4" w:space="0" w:color="9EA9B2" w:themeColor="text1" w:themeTint="66"/>
        <w:insideH w:val="single" w:sz="4" w:space="0" w:color="9EA9B2" w:themeColor="text1" w:themeTint="66"/>
        <w:insideV w:val="single" w:sz="4" w:space="0" w:color="9EA9B2" w:themeColor="text1" w:themeTint="66"/>
      </w:tblBorders>
    </w:tblPr>
    <w:tblStylePr w:type="firstRow">
      <w:rPr>
        <w:b/>
        <w:bCs/>
      </w:rPr>
      <w:tblPr/>
      <w:tcPr>
        <w:tcBorders>
          <w:bottom w:val="single" w:sz="12" w:space="0" w:color="6E7E8B" w:themeColor="text1" w:themeTint="99"/>
        </w:tcBorders>
      </w:tcPr>
    </w:tblStylePr>
    <w:tblStylePr w:type="lastRow">
      <w:rPr>
        <w:b/>
        <w:bCs/>
      </w:rPr>
      <w:tblPr/>
      <w:tcPr>
        <w:tcBorders>
          <w:top w:val="double" w:sz="2" w:space="0" w:color="6E7E8B" w:themeColor="tex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1F3420"/>
    <w:pPr>
      <w:spacing w:after="0" w:line="240" w:lineRule="auto"/>
    </w:pPr>
    <w:tblPr>
      <w:tblStyleRowBandSize w:val="1"/>
      <w:tblStyleColBandSize w:val="1"/>
      <w:tblBorders>
        <w:top w:val="single" w:sz="4" w:space="0" w:color="B3B9BD" w:themeColor="accent5" w:themeTint="66"/>
        <w:left w:val="single" w:sz="4" w:space="0" w:color="B3B9BD" w:themeColor="accent5" w:themeTint="66"/>
        <w:bottom w:val="single" w:sz="4" w:space="0" w:color="B3B9BD" w:themeColor="accent5" w:themeTint="66"/>
        <w:right w:val="single" w:sz="4" w:space="0" w:color="B3B9BD" w:themeColor="accent5" w:themeTint="66"/>
        <w:insideH w:val="single" w:sz="4" w:space="0" w:color="B3B9BD" w:themeColor="accent5" w:themeTint="66"/>
        <w:insideV w:val="single" w:sz="4" w:space="0" w:color="B3B9BD" w:themeColor="accent5" w:themeTint="66"/>
      </w:tblBorders>
    </w:tblPr>
    <w:tblStylePr w:type="firstRow">
      <w:rPr>
        <w:b/>
        <w:bCs/>
      </w:rPr>
      <w:tblPr/>
      <w:tcPr>
        <w:tcBorders>
          <w:bottom w:val="single" w:sz="12" w:space="0" w:color="8D979C" w:themeColor="accent5" w:themeTint="99"/>
        </w:tcBorders>
      </w:tcPr>
    </w:tblStylePr>
    <w:tblStylePr w:type="lastRow">
      <w:rPr>
        <w:b/>
        <w:bCs/>
      </w:rPr>
      <w:tblPr/>
      <w:tcPr>
        <w:tcBorders>
          <w:top w:val="double" w:sz="2" w:space="0" w:color="8D979C" w:themeColor="accent5" w:themeTint="99"/>
        </w:tcBorders>
      </w:tcPr>
    </w:tblStylePr>
    <w:tblStylePr w:type="firstCol">
      <w:rPr>
        <w:b/>
        <w:bCs/>
      </w:rPr>
    </w:tblStylePr>
    <w:tblStylePr w:type="lastCol">
      <w:rPr>
        <w:b/>
        <w:bCs/>
      </w:rPr>
    </w:tblStylePr>
  </w:style>
  <w:style w:type="character" w:customStyle="1" w:styleId="normaltextrun">
    <w:name w:val="normaltextrun"/>
    <w:basedOn w:val="DefaultParagraphFont"/>
    <w:rsid w:val="001C3C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445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E61C00B050B2F145A577448BDBA9967B"/>
        <w:category>
          <w:name w:val="General"/>
          <w:gallery w:val="placeholder"/>
        </w:category>
        <w:types>
          <w:type w:val="bbPlcHdr"/>
        </w:types>
        <w:behaviors>
          <w:behavior w:val="content"/>
        </w:behaviors>
        <w:guid w:val="{34A39607-343C-564F-A02B-3EB5E509D1A8}"/>
      </w:docPartPr>
      <w:docPartBody>
        <w:p w:rsidR="008A3F11" w:rsidRDefault="00801308">
          <w:pPr>
            <w:pStyle w:val="E61C00B050B2F145A577448BDBA9967B"/>
          </w:pPr>
          <w:r w:rsidRPr="00194597">
            <w:rPr>
              <w:rStyle w:val="PlaceholderText"/>
            </w:rPr>
            <w:t>[</w:t>
          </w:r>
          <w:r w:rsidRPr="00956C67">
            <w:rPr>
              <w:rStyle w:val="PlaceholderText"/>
            </w:rPr>
            <w:t xml:space="preserve">Click here to enter </w:t>
          </w:r>
          <w:r>
            <w:rPr>
              <w:rStyle w:val="PlaceholderText"/>
            </w:rPr>
            <w:t xml:space="preserve">Document </w:t>
          </w:r>
          <w:r w:rsidRPr="00956C67">
            <w:rPr>
              <w:rStyle w:val="PlaceholderText"/>
            </w:rPr>
            <w:t>Title – 2 lines maximum</w:t>
          </w:r>
          <w:r>
            <w:rPr>
              <w:rStyle w:val="PlaceholderText"/>
            </w:rPr>
            <w:t>.</w:t>
          </w:r>
          <w:r w:rsidRPr="00194597">
            <w:rPr>
              <w:rStyle w:val="PlaceholderText"/>
            </w:rPr>
            <w:t>]</w:t>
          </w:r>
        </w:p>
      </w:docPartBody>
    </w:docPart>
    <w:docPart>
      <w:docPartPr>
        <w:name w:val="B852807209DC154F9407250C07E73185"/>
        <w:category>
          <w:name w:val="General"/>
          <w:gallery w:val="placeholder"/>
        </w:category>
        <w:types>
          <w:type w:val="bbPlcHdr"/>
        </w:types>
        <w:behaviors>
          <w:behavior w:val="content"/>
        </w:behaviors>
        <w:guid w:val="{1A562D53-5633-0040-9D7A-F20903777BCE}"/>
      </w:docPartPr>
      <w:docPartBody>
        <w:p w:rsidR="00537B64" w:rsidRDefault="000F4F15" w:rsidP="000F4F15">
          <w:pPr>
            <w:pStyle w:val="B852807209DC154F9407250C07E73185"/>
          </w:pPr>
          <w:r w:rsidRPr="005C68F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MT">
    <w:altName w:val="Arial"/>
    <w:charset w:val="4D"/>
    <w:family w:val="swiss"/>
    <w:pitch w:val="default"/>
    <w:sig w:usb0="00000003" w:usb1="00000000" w:usb2="00000000" w:usb3="00000000" w:csb0="00000001" w:csb1="00000000"/>
  </w:font>
  <w:font w:name="@Yu Gothic UI Light">
    <w:charset w:val="80"/>
    <w:family w:val="swiss"/>
    <w:pitch w:val="variable"/>
    <w:sig w:usb0="E00002FF" w:usb1="2AC7FDFF" w:usb2="00000016" w:usb3="00000000" w:csb0="0002009F" w:csb1="00000000"/>
  </w:font>
  <w:font w:name="Public Sans">
    <w:panose1 w:val="00000000000000000000"/>
    <w:charset w:val="00"/>
    <w:family w:val="auto"/>
    <w:pitch w:val="variable"/>
    <w:sig w:usb0="A00000FF" w:usb1="4000205B" w:usb2="00000000" w:usb3="00000000" w:csb0="00000193"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FD2"/>
    <w:rsid w:val="00007C6E"/>
    <w:rsid w:val="000F4F15"/>
    <w:rsid w:val="00163FD2"/>
    <w:rsid w:val="002071B2"/>
    <w:rsid w:val="003032CA"/>
    <w:rsid w:val="003A7393"/>
    <w:rsid w:val="004365CD"/>
    <w:rsid w:val="00537B64"/>
    <w:rsid w:val="00584EA3"/>
    <w:rsid w:val="005B55C8"/>
    <w:rsid w:val="00607340"/>
    <w:rsid w:val="00673964"/>
    <w:rsid w:val="006B7122"/>
    <w:rsid w:val="00704B13"/>
    <w:rsid w:val="00710BE9"/>
    <w:rsid w:val="007B28B4"/>
    <w:rsid w:val="007C09C6"/>
    <w:rsid w:val="00801308"/>
    <w:rsid w:val="008A3F11"/>
    <w:rsid w:val="009603F3"/>
    <w:rsid w:val="009A04A6"/>
    <w:rsid w:val="009A5C99"/>
    <w:rsid w:val="009B40C2"/>
    <w:rsid w:val="009B670E"/>
    <w:rsid w:val="00A6525D"/>
    <w:rsid w:val="00A6645A"/>
    <w:rsid w:val="00A7681F"/>
    <w:rsid w:val="00AF6B35"/>
    <w:rsid w:val="00C5434A"/>
    <w:rsid w:val="00CC5FB5"/>
    <w:rsid w:val="00CD59BC"/>
    <w:rsid w:val="00CE4418"/>
    <w:rsid w:val="00E40ED9"/>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AU"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F4F15"/>
    <w:rPr>
      <w:color w:val="808080"/>
    </w:rPr>
  </w:style>
  <w:style w:type="paragraph" w:customStyle="1" w:styleId="E61C00B050B2F145A577448BDBA9967B">
    <w:name w:val="E61C00B050B2F145A577448BDBA9967B"/>
  </w:style>
  <w:style w:type="paragraph" w:customStyle="1" w:styleId="B852807209DC154F9407250C07E73185">
    <w:name w:val="B852807209DC154F9407250C07E73185"/>
    <w:rsid w:val="000F4F1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NSWGOV Corporate Sept 2022">
      <a:dk1>
        <a:srgbClr val="22272B"/>
      </a:dk1>
      <a:lt1>
        <a:srgbClr val="FFFFFF"/>
      </a:lt1>
      <a:dk2>
        <a:srgbClr val="D7153A"/>
      </a:dk2>
      <a:lt2>
        <a:srgbClr val="EBEBEB"/>
      </a:lt2>
      <a:accent1>
        <a:srgbClr val="002664"/>
      </a:accent1>
      <a:accent2>
        <a:srgbClr val="146CFD"/>
      </a:accent2>
      <a:accent3>
        <a:srgbClr val="8CE0FF"/>
      </a:accent3>
      <a:accent4>
        <a:srgbClr val="CBEDFD"/>
      </a:accent4>
      <a:accent5>
        <a:srgbClr val="495054"/>
      </a:accent5>
      <a:accent6>
        <a:srgbClr val="CDD3D6"/>
      </a:accent6>
      <a:hlink>
        <a:srgbClr val="22272B"/>
      </a:hlink>
      <a:folHlink>
        <a:srgbClr val="22272B"/>
      </a:folHlink>
    </a:clrScheme>
    <a:fontScheme name="NSW GOV 1">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a:noFill/>
        <a:ln w="6350">
          <a:solidFill>
            <a:prstClr val="black"/>
          </a:solidFill>
        </a:ln>
        <a:effectLst/>
      </a:spPr>
      <a:bodyPr wrap="square" rtlCol="0"/>
      <a:lstStyle/>
      <a:style>
        <a:lnRef idx="0">
          <a:schemeClr val="accent1"/>
        </a:lnRef>
        <a:fillRef idx="0">
          <a:schemeClr val="accent1"/>
        </a:fillRef>
        <a:effectRef idx="0">
          <a:schemeClr val="accent1"/>
        </a:effectRef>
        <a:fontRef idx="minor">
          <a:schemeClr val="dk1"/>
        </a:fontRef>
      </a: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93086847-b094-4b12-a5dd-b323aae148c3" xsi:nil="true"/>
    <lcf76f155ced4ddcb4097134ff3c332f xmlns="cdf1099d-524a-4dc6-87c2-3fd4088b685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E1F3C6CD334B2449F2FC1F8838D847A" ma:contentTypeVersion="15" ma:contentTypeDescription="Create a new document." ma:contentTypeScope="" ma:versionID="2f2da0cf1c03abff98a1e088b77d75ed">
  <xsd:schema xmlns:xsd="http://www.w3.org/2001/XMLSchema" xmlns:xs="http://www.w3.org/2001/XMLSchema" xmlns:p="http://schemas.microsoft.com/office/2006/metadata/properties" xmlns:ns2="93086847-b094-4b12-a5dd-b323aae148c3" xmlns:ns3="cdf1099d-524a-4dc6-87c2-3fd4088b6857" targetNamespace="http://schemas.microsoft.com/office/2006/metadata/properties" ma:root="true" ma:fieldsID="872aa47c6d9ec362218527b8daaa8b28" ns2:_="" ns3:_="">
    <xsd:import namespace="93086847-b094-4b12-a5dd-b323aae148c3"/>
    <xsd:import namespace="cdf1099d-524a-4dc6-87c2-3fd4088b685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element ref="ns3:MediaServiceDateTaken"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086847-b094-4b12-a5dd-b323aae148c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b5e017ef-0dfb-4573-a491-ae7bce16fd2b}" ma:internalName="TaxCatchAll" ma:showField="CatchAllData" ma:web="93086847-b094-4b12-a5dd-b323aae148c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df1099d-524a-4dc6-87c2-3fd4088b685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27958AC-8EE0-4E2F-867A-DEC99B8E7FD7}">
  <ds:schemaRefs>
    <ds:schemaRef ds:uri="http://schemas.openxmlformats.org/officeDocument/2006/bibliography"/>
  </ds:schemaRefs>
</ds:datastoreItem>
</file>

<file path=customXml/itemProps2.xml><?xml version="1.0" encoding="utf-8"?>
<ds:datastoreItem xmlns:ds="http://schemas.openxmlformats.org/officeDocument/2006/customXml" ds:itemID="{0133D2A6-4B61-4EED-BDFE-6E7278BB4DE7}">
  <ds:schemaRefs>
    <ds:schemaRef ds:uri="http://schemas.microsoft.com/office/2006/documentManagement/types"/>
    <ds:schemaRef ds:uri="http://purl.org/dc/terms/"/>
    <ds:schemaRef ds:uri="http://schemas.microsoft.com/office/2006/metadata/properties"/>
    <ds:schemaRef ds:uri="http://www.w3.org/XML/1998/namespace"/>
    <ds:schemaRef ds:uri="http://purl.org/dc/dcmitype/"/>
    <ds:schemaRef ds:uri="http://purl.org/dc/elements/1.1/"/>
    <ds:schemaRef ds:uri="http://schemas.openxmlformats.org/package/2006/metadata/core-properties"/>
    <ds:schemaRef ds:uri="http://schemas.microsoft.com/office/infopath/2007/PartnerControls"/>
    <ds:schemaRef ds:uri="660333e2-02ad-4675-ab20-1d792233697a"/>
    <ds:schemaRef ds:uri="b5bc6ebd-7482-4cae-89bc-c7a9b9b88f7d"/>
  </ds:schemaRefs>
</ds:datastoreItem>
</file>

<file path=customXml/itemProps3.xml><?xml version="1.0" encoding="utf-8"?>
<ds:datastoreItem xmlns:ds="http://schemas.openxmlformats.org/officeDocument/2006/customXml" ds:itemID="{EC4D2B99-122F-4297-9B7A-330BF0FF1C1B}">
  <ds:schemaRefs>
    <ds:schemaRef ds:uri="http://schemas.microsoft.com/sharepoint/v3/contenttype/forms"/>
  </ds:schemaRefs>
</ds:datastoreItem>
</file>

<file path=customXml/itemProps4.xml><?xml version="1.0" encoding="utf-8"?>
<ds:datastoreItem xmlns:ds="http://schemas.openxmlformats.org/officeDocument/2006/customXml" ds:itemID="{0D05BD83-D2D9-4CA6-9F34-940906B43F17}"/>
</file>

<file path=docProps/app.xml><?xml version="1.0" encoding="utf-8"?>
<Properties xmlns="http://schemas.openxmlformats.org/officeDocument/2006/extended-properties" xmlns:vt="http://schemas.openxmlformats.org/officeDocument/2006/docPropsVTypes">
  <Template>Normal</Template>
  <TotalTime>0</TotalTime>
  <Pages>5</Pages>
  <Words>1540</Words>
  <Characters>8783</Characters>
  <Application>Microsoft Office Word</Application>
  <DocSecurity>0</DocSecurity>
  <Lines>73</Lines>
  <Paragraphs>20</Paragraphs>
  <ScaleCrop>false</ScaleCrop>
  <Company/>
  <LinksUpToDate>false</LinksUpToDate>
  <CharactersWithSpaces>10303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Special Entertainment Precincts</dc:title>
  <dc:subject/>
  <dc:creator>Jean Li</dc:creator>
  <cp:keywords/>
  <dc:description/>
  <cp:lastModifiedBy>Julie Prentice</cp:lastModifiedBy>
  <cp:revision>2</cp:revision>
  <cp:lastPrinted>2022-02-09T02:22:00Z</cp:lastPrinted>
  <dcterms:created xsi:type="dcterms:W3CDTF">2024-11-19T23:47:00Z</dcterms:created>
  <dcterms:modified xsi:type="dcterms:W3CDTF">2024-11-19T23:47:00Z</dcterms:modified>
  <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56401c09,2508d0c4,315f4a2e</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67944592,52826ff5,48c6a698</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MSIP_Label_a6214476-0a12-4e5a-9f69-27718960d391_Enabled">
    <vt:lpwstr>true</vt:lpwstr>
  </property>
  <property fmtid="{D5CDD505-2E9C-101B-9397-08002B2CF9AE}" pid="9" name="MSIP_Label_a6214476-0a12-4e5a-9f69-27718960d391_SetDate">
    <vt:lpwstr>2024-03-01T02:36:28Z</vt:lpwstr>
  </property>
  <property fmtid="{D5CDD505-2E9C-101B-9397-08002B2CF9AE}" pid="10" name="MSIP_Label_a6214476-0a12-4e5a-9f69-27718960d391_Method">
    <vt:lpwstr>Privileged</vt:lpwstr>
  </property>
  <property fmtid="{D5CDD505-2E9C-101B-9397-08002B2CF9AE}" pid="11" name="MSIP_Label_a6214476-0a12-4e5a-9f69-27718960d391_Name">
    <vt:lpwstr>OFFICIAL</vt:lpwstr>
  </property>
  <property fmtid="{D5CDD505-2E9C-101B-9397-08002B2CF9AE}" pid="12" name="MSIP_Label_a6214476-0a12-4e5a-9f69-27718960d391_SiteId">
    <vt:lpwstr>1ef97a68-e8ab-44ed-a16d-b579fe2d7cd8</vt:lpwstr>
  </property>
  <property fmtid="{D5CDD505-2E9C-101B-9397-08002B2CF9AE}" pid="13" name="MSIP_Label_a6214476-0a12-4e5a-9f69-27718960d391_ActionId">
    <vt:lpwstr>23753440-a478-4af4-a82e-e73542284b83</vt:lpwstr>
  </property>
  <property fmtid="{D5CDD505-2E9C-101B-9397-08002B2CF9AE}" pid="14" name="MSIP_Label_a6214476-0a12-4e5a-9f69-27718960d391_ContentBits">
    <vt:lpwstr>3</vt:lpwstr>
  </property>
  <property fmtid="{D5CDD505-2E9C-101B-9397-08002B2CF9AE}" pid="15" name="MediaServiceImageTags">
    <vt:lpwstr/>
  </property>
  <property fmtid="{D5CDD505-2E9C-101B-9397-08002B2CF9AE}" pid="16" name="ContentTypeId">
    <vt:lpwstr>0x010100FE1F3C6CD334B2449F2FC1F8838D847A</vt:lpwstr>
  </property>
</Properties>
</file>