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9794F3" w14:textId="5FFE4761" w:rsidR="00576A0F" w:rsidRPr="006156FF" w:rsidRDefault="007405AE" w:rsidP="00805A90">
      <w:pPr>
        <w:pStyle w:val="DescriptororName"/>
        <w:ind w:right="-2"/>
        <w:rPr>
          <w:rFonts w:asciiTheme="minorHAnsi" w:hAnsiTheme="minorHAnsi"/>
        </w:rPr>
      </w:pPr>
      <w:r>
        <w:rPr>
          <w:rFonts w:asciiTheme="minorHAnsi" w:hAnsiTheme="minorHAnsi"/>
        </w:rPr>
        <w:t xml:space="preserve"> </w:t>
      </w:r>
      <w:r w:rsidR="00805A90" w:rsidRPr="006156FF">
        <w:rPr>
          <w:rFonts w:asciiTheme="minorHAnsi" w:hAnsiTheme="minorHAnsi"/>
          <w:noProof/>
        </w:rPr>
        <w:drawing>
          <wp:inline distT="0" distB="0" distL="0" distR="0" wp14:anchorId="3C40677A" wp14:editId="47B3C482">
            <wp:extent cx="666000" cy="720000"/>
            <wp:effectExtent l="0" t="0" r="1270" b="4445"/>
            <wp:docPr id="4" name="Picture 4" descr="NSW Government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NSW Government logo">
                      <a:extLst>
                        <a:ext uri="{C183D7F6-B498-43B3-948B-1728B52AA6E4}">
                          <adec:decorative xmlns:adec="http://schemas.microsoft.com/office/drawing/2017/decorative" val="0"/>
                        </a:ext>
                      </a:extLst>
                    </pic:cNvPr>
                    <pic:cNvPicPr/>
                  </pic:nvPicPr>
                  <pic:blipFill>
                    <a:blip r:embed="rId8" cstate="print">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inline>
        </w:drawing>
      </w:r>
      <w:r w:rsidR="00805A90" w:rsidRPr="006156FF">
        <w:rPr>
          <w:rFonts w:asciiTheme="minorHAnsi" w:hAnsiTheme="minorHAnsi"/>
        </w:rPr>
        <w:tab/>
      </w:r>
    </w:p>
    <w:bookmarkStart w:id="0" w:name="_Hlk128557936"/>
    <w:p w14:paraId="4F39FFA6" w14:textId="4774C882" w:rsidR="002F3AF2" w:rsidRPr="006156FF" w:rsidRDefault="00000000" w:rsidP="002F3AF2">
      <w:pPr>
        <w:pStyle w:val="DocumentType"/>
        <w:spacing w:before="360"/>
        <w:rPr>
          <w:rFonts w:asciiTheme="minorHAnsi" w:hAnsiTheme="minorHAnsi"/>
        </w:rPr>
      </w:pPr>
      <w:sdt>
        <w:sdtPr>
          <w:rPr>
            <w:rFonts w:asciiTheme="minorHAnsi" w:hAnsiTheme="minorHAnsi"/>
          </w:rPr>
          <w:id w:val="-1982835863"/>
          <w:lock w:val="sdtLocked"/>
          <w:placeholder>
            <w:docPart w:val="2E7C5EFF51534A18B57122D7DA06CE3C"/>
          </w:placeholder>
        </w:sdtPr>
        <w:sdtContent>
          <w:r w:rsidR="00924741" w:rsidRPr="007405AE">
            <w:rPr>
              <w:rFonts w:asciiTheme="minorHAnsi" w:hAnsiTheme="minorHAnsi"/>
              <w:b/>
              <w:bCs/>
            </w:rPr>
            <w:t>NSW Homelessness Strategy 202</w:t>
          </w:r>
          <w:r w:rsidR="00561D86">
            <w:rPr>
              <w:rFonts w:asciiTheme="minorHAnsi" w:hAnsiTheme="minorHAnsi"/>
              <w:b/>
              <w:bCs/>
            </w:rPr>
            <w:t>5</w:t>
          </w:r>
          <w:r w:rsidR="00924741" w:rsidRPr="007405AE">
            <w:rPr>
              <w:rFonts w:asciiTheme="minorHAnsi" w:hAnsiTheme="minorHAnsi"/>
              <w:b/>
              <w:bCs/>
            </w:rPr>
            <w:t>-203</w:t>
          </w:r>
          <w:r w:rsidR="00561D86">
            <w:rPr>
              <w:rFonts w:asciiTheme="minorHAnsi" w:hAnsiTheme="minorHAnsi"/>
              <w:b/>
              <w:bCs/>
            </w:rPr>
            <w:t>5</w:t>
          </w:r>
          <w:r w:rsidR="00924741" w:rsidRPr="006156FF">
            <w:rPr>
              <w:rFonts w:asciiTheme="minorHAnsi" w:hAnsiTheme="minorHAnsi"/>
            </w:rPr>
            <w:t xml:space="preserve">                                             </w:t>
          </w:r>
        </w:sdtContent>
      </w:sdt>
      <w:r w:rsidR="002F3AF2" w:rsidRPr="006156FF">
        <w:rPr>
          <w:rFonts w:asciiTheme="minorHAnsi" w:hAnsiTheme="minorHAnsi"/>
        </w:rPr>
        <w:t xml:space="preserve"> </w:t>
      </w:r>
    </w:p>
    <w:p w14:paraId="7F1172AF" w14:textId="1CEA968C" w:rsidR="000A739E" w:rsidRPr="006156FF" w:rsidRDefault="00000000" w:rsidP="000F36A1">
      <w:pPr>
        <w:pStyle w:val="Title"/>
      </w:pPr>
      <w:sdt>
        <w:sdtPr>
          <w:rPr>
            <w:rFonts w:ascii="Public Sans Light" w:hAnsi="Public Sans Light"/>
          </w:rPr>
          <w:alias w:val="Title"/>
          <w:tag w:val="Title"/>
          <w:id w:val="-1665233913"/>
          <w:lock w:val="sdtLocked"/>
          <w:placeholder>
            <w:docPart w:val="514AA35606734FCB8BC652B5E209FF52"/>
          </w:placeholder>
          <w:dataBinding w:prefixMappings="xmlns:ns0='http://purl.org/dc/elements/1.1/' xmlns:ns1='http://schemas.openxmlformats.org/package/2006/metadata/core-properties' " w:xpath="/ns1:coreProperties[1]/ns0:title[1]" w:storeItemID="{6C3C8BC8-F283-45AE-878A-BAB7291924A1}"/>
          <w:text/>
        </w:sdtPr>
        <w:sdtContent>
          <w:r w:rsidR="007405AE" w:rsidRPr="007405AE">
            <w:rPr>
              <w:rFonts w:ascii="Public Sans Light" w:hAnsi="Public Sans Light"/>
            </w:rPr>
            <w:t>Fact sheet #3: Evidence summary</w:t>
          </w:r>
        </w:sdtContent>
      </w:sdt>
      <w:r w:rsidR="009A49C9" w:rsidRPr="006156FF">
        <w:t xml:space="preserve"> </w:t>
      </w:r>
    </w:p>
    <w:p w14:paraId="3C6343BE" w14:textId="0E6E815D" w:rsidR="00E046F9" w:rsidRPr="006156FF" w:rsidRDefault="00AB60C9" w:rsidP="00CF4886">
      <w:pPr>
        <w:pStyle w:val="Date"/>
        <w:rPr>
          <w:lang w:eastAsia="en-US"/>
        </w:rPr>
      </w:pPr>
      <w:r>
        <w:t>November</w:t>
      </w:r>
      <w:r w:rsidR="00CF4886" w:rsidRPr="006156FF">
        <w:t xml:space="preserve"> 2024</w:t>
      </w:r>
      <w:bookmarkEnd w:id="0"/>
    </w:p>
    <w:p w14:paraId="472AAB49" w14:textId="7B2CE3B7" w:rsidR="007878A2" w:rsidRPr="006156FF" w:rsidRDefault="00CF4886" w:rsidP="00E73460">
      <w:pPr>
        <w:pStyle w:val="Heading1"/>
      </w:pPr>
      <w:r w:rsidRPr="006156FF">
        <w:t>Introduction</w:t>
      </w:r>
    </w:p>
    <w:p w14:paraId="7FCC21DA" w14:textId="104C7351" w:rsidR="00CF4886" w:rsidRDefault="002D4D94" w:rsidP="00140059">
      <w:pPr>
        <w:pStyle w:val="BodyText"/>
      </w:pPr>
      <w:r w:rsidRPr="006156FF">
        <w:t xml:space="preserve">This fact sheet outlines the evidence behind the </w:t>
      </w:r>
      <w:r w:rsidR="00C84F9D" w:rsidRPr="006156FF">
        <w:t xml:space="preserve">vision, </w:t>
      </w:r>
      <w:r w:rsidR="00F646D0">
        <w:t>outcome</w:t>
      </w:r>
      <w:r w:rsidR="00F646D0" w:rsidRPr="006156FF">
        <w:t>s</w:t>
      </w:r>
      <w:r w:rsidR="00344850">
        <w:t>,</w:t>
      </w:r>
      <w:r w:rsidR="00C84F9D" w:rsidRPr="006156FF">
        <w:t xml:space="preserve"> principles </w:t>
      </w:r>
      <w:r w:rsidR="00344850">
        <w:t xml:space="preserve">and focus areas </w:t>
      </w:r>
      <w:r w:rsidR="00C84F9D" w:rsidRPr="006156FF">
        <w:t>of</w:t>
      </w:r>
      <w:r w:rsidRPr="006156FF">
        <w:t xml:space="preserve"> the NSW Homelessness Strategy 202</w:t>
      </w:r>
      <w:r w:rsidR="00561D86">
        <w:t>5</w:t>
      </w:r>
      <w:r w:rsidRPr="006156FF">
        <w:t>-203</w:t>
      </w:r>
      <w:r w:rsidR="00561D86">
        <w:t>5</w:t>
      </w:r>
      <w:r w:rsidRPr="006156FF">
        <w:t>.</w:t>
      </w:r>
    </w:p>
    <w:p w14:paraId="3E4D79DD" w14:textId="0A1859E0" w:rsidR="00442753" w:rsidRPr="00442753" w:rsidRDefault="00A63969" w:rsidP="00442753">
      <w:pPr>
        <w:pStyle w:val="BodyText"/>
      </w:pPr>
      <w:r>
        <w:rPr>
          <w:noProof/>
        </w:rPr>
        <w:drawing>
          <wp:inline distT="0" distB="0" distL="0" distR="0" wp14:anchorId="0489FE73" wp14:editId="5CF1EA3B">
            <wp:extent cx="6343650" cy="3546116"/>
            <wp:effectExtent l="0" t="0" r="0" b="0"/>
            <wp:docPr id="2" name="Picture 2" descr="The vision of the Strategy is: Homelessness n NSW is rare, brief and not repeated because people have a safe home and the support to keep it. The Strategy will take a systems approach that will shift the system from a crisis focus to prevention, from service centred to person centred, and from central delivery to local delivery. The Strategy will be guided by the following principles: Housing is a human right, respect for Aboriginal expertise, Service design informed by lived experience, Person-centred principles, Prevention is prioritised, Housing First principles, Flexible, local joined up service delivery, strong and capable workforce, systems, tools and measurement fit for purpo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he vision of the Strategy is: Homelessness n NSW is rare, brief and not repeated because people have a safe home and the support to keep it. The Strategy will take a systems approach that will shift the system from a crisis focus to prevention, from service centred to person centred, and from central delivery to local delivery. The Strategy will be guided by the following principles: Housing is a human right, respect for Aboriginal expertise, Service design informed by lived experience, Person-centred principles, Prevention is prioritised, Housing First principles, Flexible, local joined up service delivery, strong and capable workforce, systems, tools and measurement fit for purpos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5229" cy="3558179"/>
                    </a:xfrm>
                    <a:prstGeom prst="rect">
                      <a:avLst/>
                    </a:prstGeom>
                    <a:noFill/>
                  </pic:spPr>
                </pic:pic>
              </a:graphicData>
            </a:graphic>
          </wp:inline>
        </w:drawing>
      </w:r>
    </w:p>
    <w:p w14:paraId="1893DE43" w14:textId="1FD6DA3C" w:rsidR="00C84F9D" w:rsidRPr="006156FF" w:rsidRDefault="00C84F9D" w:rsidP="00C84F9D">
      <w:pPr>
        <w:pStyle w:val="Heading1"/>
      </w:pPr>
      <w:bookmarkStart w:id="1" w:name="_Toc171943313"/>
      <w:bookmarkStart w:id="2" w:name="_Ref154151887"/>
      <w:r w:rsidRPr="006156FF">
        <w:t>Vision and goals</w:t>
      </w:r>
      <w:r w:rsidR="00483683" w:rsidRPr="006156FF">
        <w:t>: Why ‘</w:t>
      </w:r>
      <w:r w:rsidR="00442753">
        <w:t>r</w:t>
      </w:r>
      <w:r w:rsidR="00483683" w:rsidRPr="006156FF">
        <w:t xml:space="preserve">are, </w:t>
      </w:r>
      <w:r w:rsidR="00442753">
        <w:t>b</w:t>
      </w:r>
      <w:r w:rsidR="00483683" w:rsidRPr="006156FF">
        <w:t xml:space="preserve">rief and </w:t>
      </w:r>
      <w:r w:rsidR="00442753">
        <w:t>n</w:t>
      </w:r>
      <w:r w:rsidR="00483683" w:rsidRPr="006156FF">
        <w:t xml:space="preserve">ot </w:t>
      </w:r>
      <w:r w:rsidR="00442753">
        <w:t>r</w:t>
      </w:r>
      <w:r w:rsidR="00483683" w:rsidRPr="006156FF">
        <w:t>epeated’?</w:t>
      </w:r>
    </w:p>
    <w:bookmarkEnd w:id="1"/>
    <w:p w14:paraId="798B9A31" w14:textId="33459C87" w:rsidR="00CB5CD9" w:rsidRPr="00140059" w:rsidRDefault="002D4D94" w:rsidP="00140059">
      <w:pPr>
        <w:pStyle w:val="BodyText"/>
      </w:pPr>
      <w:r w:rsidRPr="006156FF">
        <w:t xml:space="preserve">The </w:t>
      </w:r>
      <w:r w:rsidR="00CB5CD9" w:rsidRPr="006156FF">
        <w:t>vision of the NSW Homelessness Strategy 202</w:t>
      </w:r>
      <w:r w:rsidR="00A31C36">
        <w:t>5</w:t>
      </w:r>
      <w:r w:rsidR="00CB5CD9" w:rsidRPr="006156FF">
        <w:t>-</w:t>
      </w:r>
      <w:r w:rsidR="00AD178E" w:rsidRPr="006156FF">
        <w:t>20</w:t>
      </w:r>
      <w:r w:rsidR="00CB5CD9" w:rsidRPr="006156FF">
        <w:t>3</w:t>
      </w:r>
      <w:r w:rsidR="00A31C36">
        <w:t>5</w:t>
      </w:r>
      <w:r w:rsidR="00CB5CD9" w:rsidRPr="006156FF">
        <w:t xml:space="preserve"> is t</w:t>
      </w:r>
      <w:r w:rsidR="000422A4" w:rsidRPr="006156FF">
        <w:t>hat</w:t>
      </w:r>
      <w:r w:rsidR="00CB5CD9" w:rsidRPr="006156FF">
        <w:t xml:space="preserve"> NSW is a place where homelessness is rare, brief, and not repeated because people have a safe home and the support to keep it</w:t>
      </w:r>
      <w:bookmarkEnd w:id="2"/>
      <w:r w:rsidR="00442753">
        <w:t>.</w:t>
      </w:r>
    </w:p>
    <w:p w14:paraId="092CD5C2" w14:textId="634E62D2" w:rsidR="00025C38" w:rsidRPr="00440D9B" w:rsidRDefault="00025C38" w:rsidP="00140059">
      <w:pPr>
        <w:pStyle w:val="BodyText"/>
      </w:pPr>
      <w:r>
        <w:t>Our vision is based on the SHARE Framework to end homelessness developed by the UK Centre for Homelessness Impact</w:t>
      </w:r>
      <w:r w:rsidRPr="00823A73">
        <w:rPr>
          <w:vertAlign w:val="superscript"/>
        </w:rPr>
        <w:endnoteReference w:id="2"/>
      </w:r>
      <w:r>
        <w:t xml:space="preserve">. SHARE provides a structured approach and commons goals of making homelessness ‘rare’, ‘brief’ and ‘non-recurrent’. </w:t>
      </w:r>
      <w:r w:rsidR="00A63969">
        <w:t xml:space="preserve">It is </w:t>
      </w:r>
      <w:r>
        <w:t xml:space="preserve">an </w:t>
      </w:r>
      <w:r w:rsidRPr="00440D9B">
        <w:t>evidence-based tool that anyone working in and around homelessness can use to frame discussions and direct efforts towards the ultimate goal of ending homelessness.</w:t>
      </w:r>
      <w:r>
        <w:t xml:space="preserve"> It is aligning efforts internationally and has also been adopted by a number </w:t>
      </w:r>
      <w:r>
        <w:lastRenderedPageBreak/>
        <w:t xml:space="preserve">of Australian State and Territory </w:t>
      </w:r>
      <w:r w:rsidRPr="00440D9B">
        <w:t>governments, peak bodies, housing providers and homelessness services</w:t>
      </w:r>
      <w:r w:rsidRPr="002F61B6">
        <w:rPr>
          <w:vertAlign w:val="superscript"/>
        </w:rPr>
        <w:endnoteReference w:id="3"/>
      </w:r>
      <w:r w:rsidRPr="00440D9B">
        <w:t xml:space="preserve">. </w:t>
      </w:r>
    </w:p>
    <w:p w14:paraId="181128E7" w14:textId="77777777" w:rsidR="00025C38" w:rsidRDefault="00025C38" w:rsidP="00140059">
      <w:pPr>
        <w:pStyle w:val="BodyText"/>
      </w:pPr>
      <w:r w:rsidRPr="00440D9B">
        <w:t>SHARE is intended to be applied alongside a wider approach that draws on bodies of knowledge, rigorous evaluation of ‘what works’, and the unique experiences of those using it, so we have adapted the Framework to fit the NSW context.</w:t>
      </w:r>
      <w:r>
        <w:t xml:space="preserve"> </w:t>
      </w:r>
    </w:p>
    <w:p w14:paraId="655AECF3" w14:textId="77777777" w:rsidR="00025C38" w:rsidRDefault="00025C38" w:rsidP="00140059">
      <w:pPr>
        <w:pStyle w:val="BodyText"/>
      </w:pPr>
      <w:r>
        <w:t>This NSW Homelessness Strategy sets out new directions to build the capacity of the NSW service system to prevent and respond to homelessness over the next ten years, and provides principles to guide policy, practice, investment and resource allocation.</w:t>
      </w:r>
    </w:p>
    <w:p w14:paraId="3EBE4B12" w14:textId="504E8EA4" w:rsidR="00151F0E" w:rsidRPr="00716C59" w:rsidRDefault="00151F0E" w:rsidP="00151F0E">
      <w:pPr>
        <w:pStyle w:val="Heading1"/>
      </w:pPr>
      <w:bookmarkStart w:id="3" w:name="_Toc171943322"/>
      <w:r w:rsidRPr="00716C59">
        <w:t>Homelessness is rare</w:t>
      </w:r>
    </w:p>
    <w:p w14:paraId="3938586B" w14:textId="0F68B396" w:rsidR="006D0573" w:rsidRPr="00716C59" w:rsidRDefault="00707CA0" w:rsidP="00716C59">
      <w:pPr>
        <w:pStyle w:val="Heading2"/>
        <w:rPr>
          <w:rStyle w:val="normaltextrun"/>
        </w:rPr>
      </w:pPr>
      <w:r w:rsidRPr="00716C59">
        <w:rPr>
          <w:rStyle w:val="Heading1Char"/>
          <w:sz w:val="28"/>
        </w:rPr>
        <w:t>Outcome 1 - Wherever possible, homelessness is prevented from happening in the first place, making it rare </w:t>
      </w:r>
      <w:bookmarkEnd w:id="3"/>
    </w:p>
    <w:p w14:paraId="58BA66E8" w14:textId="77777777" w:rsidR="00764920" w:rsidRDefault="00764920" w:rsidP="00764920">
      <w:pPr>
        <w:pStyle w:val="paragraph"/>
        <w:spacing w:before="0" w:beforeAutospacing="0" w:after="0" w:afterAutospacing="0"/>
        <w:textAlignment w:val="baseline"/>
        <w:rPr>
          <w:rStyle w:val="eop"/>
          <w:rFonts w:asciiTheme="minorHAnsi" w:hAnsiTheme="minorHAnsi" w:cs="Segoe UI"/>
          <w:sz w:val="22"/>
          <w:szCs w:val="22"/>
        </w:rPr>
      </w:pPr>
      <w:r w:rsidRPr="006156FF">
        <w:rPr>
          <w:rStyle w:val="normaltextrun"/>
          <w:rFonts w:asciiTheme="minorHAnsi" w:eastAsiaTheme="majorEastAsia" w:hAnsiTheme="minorHAnsi" w:cs="Segoe UI"/>
          <w:sz w:val="22"/>
          <w:szCs w:val="22"/>
        </w:rPr>
        <w:t>The table below summarises the rationale and evidence for the strategic objectives aimed at making homelessness rare. </w:t>
      </w:r>
      <w:r w:rsidRPr="006156FF">
        <w:rPr>
          <w:rStyle w:val="eop"/>
          <w:rFonts w:asciiTheme="minorHAnsi" w:hAnsiTheme="minorHAnsi" w:cs="Segoe UI"/>
          <w:sz w:val="22"/>
          <w:szCs w:val="22"/>
        </w:rPr>
        <w:t> </w:t>
      </w:r>
    </w:p>
    <w:p w14:paraId="057885EE" w14:textId="77777777" w:rsidR="00A63969" w:rsidRPr="006156FF" w:rsidRDefault="00A63969" w:rsidP="00764920">
      <w:pPr>
        <w:pStyle w:val="paragraph"/>
        <w:spacing w:before="0" w:beforeAutospacing="0" w:after="0" w:afterAutospacing="0"/>
        <w:textAlignment w:val="baseline"/>
        <w:rPr>
          <w:rStyle w:val="eop"/>
          <w:rFonts w:asciiTheme="minorHAnsi" w:hAnsiTheme="minorHAnsi" w:cs="Segoe UI"/>
          <w:sz w:val="22"/>
          <w:szCs w:val="22"/>
        </w:rPr>
      </w:pPr>
    </w:p>
    <w:tbl>
      <w:tblPr>
        <w:tblW w:w="1019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78"/>
        <w:gridCol w:w="8420"/>
      </w:tblGrid>
      <w:tr w:rsidR="0003360A" w:rsidRPr="006156FF" w14:paraId="16F31D98" w14:textId="77777777" w:rsidTr="00442753">
        <w:trPr>
          <w:trHeight w:val="135"/>
          <w:tblHeader/>
        </w:trPr>
        <w:tc>
          <w:tcPr>
            <w:tcW w:w="1778" w:type="dxa"/>
            <w:tcBorders>
              <w:top w:val="single" w:sz="4" w:space="0" w:color="auto"/>
              <w:left w:val="single" w:sz="4" w:space="0" w:color="auto"/>
              <w:bottom w:val="single" w:sz="4" w:space="0" w:color="auto"/>
              <w:right w:val="single" w:sz="4" w:space="0" w:color="auto"/>
            </w:tcBorders>
            <w:shd w:val="clear" w:color="auto" w:fill="FFE6EA" w:themeFill="accent4"/>
            <w:hideMark/>
          </w:tcPr>
          <w:p w14:paraId="09375A70" w14:textId="079C0E41" w:rsidR="0003360A" w:rsidRPr="006156FF" w:rsidRDefault="008616EB" w:rsidP="0003360A">
            <w:pPr>
              <w:suppressAutoHyphens w:val="0"/>
              <w:spacing w:before="120" w:after="120"/>
              <w:textAlignment w:val="baseline"/>
              <w:rPr>
                <w:rFonts w:asciiTheme="minorHAnsi" w:eastAsia="Times New Roman" w:hAnsiTheme="minorHAnsi" w:cs="Segoe UI"/>
                <w:b/>
                <w:bCs/>
                <w:color w:val="auto"/>
                <w:lang w:eastAsia="en-AU"/>
              </w:rPr>
            </w:pPr>
            <w:r w:rsidRPr="006156FF">
              <w:rPr>
                <w:rFonts w:asciiTheme="minorHAnsi" w:eastAsia="Times New Roman" w:hAnsiTheme="minorHAnsi" w:cs="Segoe UI"/>
                <w:b/>
                <w:bCs/>
                <w:color w:val="auto"/>
                <w:lang w:eastAsia="en-AU"/>
              </w:rPr>
              <w:t>O</w:t>
            </w:r>
            <w:r>
              <w:rPr>
                <w:rFonts w:asciiTheme="minorHAnsi" w:eastAsia="Times New Roman" w:hAnsiTheme="minorHAnsi" w:cs="Segoe UI"/>
                <w:b/>
                <w:bCs/>
                <w:color w:val="auto"/>
                <w:lang w:eastAsia="en-AU"/>
              </w:rPr>
              <w:t>utcome</w:t>
            </w:r>
          </w:p>
        </w:tc>
        <w:tc>
          <w:tcPr>
            <w:tcW w:w="8420" w:type="dxa"/>
            <w:tcBorders>
              <w:top w:val="single" w:sz="4" w:space="0" w:color="auto"/>
              <w:left w:val="single" w:sz="4" w:space="0" w:color="auto"/>
              <w:bottom w:val="single" w:sz="4" w:space="0" w:color="auto"/>
              <w:right w:val="single" w:sz="4" w:space="0" w:color="auto"/>
            </w:tcBorders>
            <w:shd w:val="clear" w:color="auto" w:fill="FFE6EA" w:themeFill="accent4"/>
            <w:hideMark/>
          </w:tcPr>
          <w:p w14:paraId="2B953A87" w14:textId="77777777" w:rsidR="0003360A" w:rsidRPr="006156FF" w:rsidRDefault="0003360A" w:rsidP="0003360A">
            <w:pPr>
              <w:suppressAutoHyphens w:val="0"/>
              <w:spacing w:before="120" w:after="120"/>
              <w:textAlignment w:val="baseline"/>
              <w:rPr>
                <w:rFonts w:asciiTheme="minorHAnsi" w:eastAsia="Times New Roman" w:hAnsiTheme="minorHAnsi" w:cs="Segoe UI"/>
                <w:b/>
                <w:bCs/>
                <w:color w:val="auto"/>
                <w:lang w:eastAsia="en-AU"/>
              </w:rPr>
            </w:pPr>
            <w:r w:rsidRPr="006156FF">
              <w:rPr>
                <w:rFonts w:asciiTheme="minorHAnsi" w:eastAsia="Times New Roman" w:hAnsiTheme="minorHAnsi" w:cs="Segoe UI"/>
                <w:b/>
                <w:bCs/>
                <w:color w:val="auto"/>
                <w:lang w:eastAsia="en-AU"/>
              </w:rPr>
              <w:t>Rationale </w:t>
            </w:r>
          </w:p>
        </w:tc>
      </w:tr>
      <w:tr w:rsidR="00645F2D" w:rsidRPr="006156FF" w14:paraId="7E6A8F97" w14:textId="77777777" w:rsidTr="00442753">
        <w:trPr>
          <w:trHeight w:val="496"/>
        </w:trPr>
        <w:tc>
          <w:tcPr>
            <w:tcW w:w="1778" w:type="dxa"/>
            <w:tcBorders>
              <w:top w:val="single" w:sz="4" w:space="0" w:color="auto"/>
              <w:left w:val="single" w:sz="4" w:space="0" w:color="auto"/>
              <w:right w:val="single" w:sz="4" w:space="0" w:color="auto"/>
            </w:tcBorders>
            <w:shd w:val="clear" w:color="auto" w:fill="FFFFFF" w:themeFill="background1"/>
          </w:tcPr>
          <w:p w14:paraId="42DFB1C6" w14:textId="7094DE26" w:rsidR="00645F2D" w:rsidRPr="006156FF" w:rsidRDefault="008616EB" w:rsidP="00A1262B">
            <w:pPr>
              <w:suppressAutoHyphens w:val="0"/>
              <w:spacing w:before="120" w:after="120"/>
              <w:textAlignment w:val="baseline"/>
              <w:rPr>
                <w:rFonts w:asciiTheme="minorHAnsi" w:eastAsia="Times New Roman" w:hAnsiTheme="minorHAnsi" w:cs="Segoe UI"/>
                <w:b/>
                <w:bCs/>
                <w:color w:val="auto"/>
                <w:lang w:eastAsia="en-AU"/>
              </w:rPr>
            </w:pPr>
            <w:r>
              <w:rPr>
                <w:rFonts w:asciiTheme="minorHAnsi" w:eastAsia="Times New Roman" w:hAnsiTheme="minorHAnsi" w:cs="Segoe UI"/>
                <w:b/>
                <w:bCs/>
                <w:color w:val="auto"/>
                <w:lang w:eastAsia="en-AU"/>
              </w:rPr>
              <w:t xml:space="preserve"> 1.1 </w:t>
            </w:r>
            <w:r w:rsidR="003F71FE" w:rsidRPr="006156FF">
              <w:rPr>
                <w:rFonts w:asciiTheme="minorHAnsi" w:eastAsia="Times New Roman" w:hAnsiTheme="minorHAnsi" w:cs="Segoe UI"/>
                <w:b/>
                <w:bCs/>
                <w:color w:val="auto"/>
                <w:lang w:eastAsia="en-AU"/>
              </w:rPr>
              <w:t xml:space="preserve">People </w:t>
            </w:r>
            <w:r w:rsidR="003F71FE">
              <w:rPr>
                <w:rFonts w:asciiTheme="minorHAnsi" w:eastAsia="Times New Roman" w:hAnsiTheme="minorHAnsi" w:cs="Segoe UI"/>
                <w:b/>
                <w:bCs/>
                <w:color w:val="auto"/>
                <w:lang w:eastAsia="en-AU"/>
              </w:rPr>
              <w:t>can get and keep and safe and affordable home</w:t>
            </w:r>
          </w:p>
        </w:tc>
        <w:tc>
          <w:tcPr>
            <w:tcW w:w="8420" w:type="dxa"/>
            <w:tcBorders>
              <w:top w:val="single" w:sz="4" w:space="0" w:color="auto"/>
              <w:left w:val="single" w:sz="4" w:space="0" w:color="auto"/>
              <w:bottom w:val="single" w:sz="4" w:space="0" w:color="auto"/>
              <w:right w:val="single" w:sz="4" w:space="0" w:color="auto"/>
            </w:tcBorders>
            <w:shd w:val="clear" w:color="auto" w:fill="auto"/>
          </w:tcPr>
          <w:p w14:paraId="76231A3F" w14:textId="0363C8F3" w:rsidR="003F71FE" w:rsidRDefault="003F71FE" w:rsidP="00B13429">
            <w:pPr>
              <w:pStyle w:val="ListParagraph"/>
              <w:numPr>
                <w:ilvl w:val="0"/>
                <w:numId w:val="50"/>
              </w:numPr>
              <w:suppressAutoHyphens w:val="0"/>
              <w:spacing w:before="120" w:after="120"/>
              <w:ind w:left="454" w:hanging="357"/>
              <w:contextualSpacing w:val="0"/>
              <w:textAlignment w:val="baseline"/>
              <w:rPr>
                <w:rFonts w:asciiTheme="minorHAnsi" w:eastAsia="Times New Roman" w:hAnsiTheme="minorHAnsi" w:cs="Segoe UI"/>
                <w:color w:val="auto"/>
                <w:lang w:eastAsia="en-AU"/>
              </w:rPr>
            </w:pPr>
            <w:r w:rsidRPr="00151F0E">
              <w:rPr>
                <w:rFonts w:asciiTheme="minorHAnsi" w:eastAsia="Times New Roman" w:hAnsiTheme="minorHAnsi" w:cs="Segoe UI"/>
                <w:color w:val="auto"/>
                <w:lang w:eastAsia="en-AU"/>
              </w:rPr>
              <w:t>The extremely low vacancy rate in NSW (~</w:t>
            </w:r>
            <w:r w:rsidR="00151F0E" w:rsidRPr="00151F0E">
              <w:rPr>
                <w:rFonts w:asciiTheme="minorHAnsi" w:eastAsia="Times New Roman" w:hAnsiTheme="minorHAnsi" w:cs="Segoe UI"/>
                <w:color w:val="auto"/>
                <w:lang w:eastAsia="en-AU"/>
              </w:rPr>
              <w:t>1</w:t>
            </w:r>
            <w:r w:rsidRPr="00151F0E">
              <w:rPr>
                <w:rFonts w:asciiTheme="minorHAnsi" w:eastAsia="Times New Roman" w:hAnsiTheme="minorHAnsi" w:cs="Segoe UI"/>
                <w:color w:val="auto"/>
                <w:lang w:eastAsia="en-AU"/>
              </w:rPr>
              <w:t xml:space="preserve"> per cent) means that the private rental market is largely unaffordable for people reliant on income support payments and low-income households. Financial support to sustain tenancies in the private rental market can improve access to established housing facilities, presents a scaling opportunity for existing programs and can reduce the burden on the homelessness system</w:t>
            </w:r>
            <w:r w:rsidRPr="00151F0E">
              <w:rPr>
                <w:color w:val="auto"/>
                <w:vertAlign w:val="superscript"/>
                <w:lang w:eastAsia="en-AU"/>
              </w:rPr>
              <w:endnoteReference w:id="4"/>
            </w:r>
            <w:r w:rsidRPr="00151F0E">
              <w:rPr>
                <w:rFonts w:asciiTheme="minorHAnsi" w:eastAsia="Times New Roman" w:hAnsiTheme="minorHAnsi" w:cs="Segoe UI"/>
                <w:color w:val="auto"/>
                <w:lang w:eastAsia="en-AU"/>
              </w:rPr>
              <w:t>.</w:t>
            </w:r>
          </w:p>
          <w:p w14:paraId="6DE115C5" w14:textId="5E726990" w:rsidR="00A67D7C" w:rsidRPr="00A67D7C" w:rsidRDefault="006E79D0" w:rsidP="00B13429">
            <w:pPr>
              <w:pStyle w:val="ListParagraph"/>
              <w:numPr>
                <w:ilvl w:val="0"/>
                <w:numId w:val="50"/>
              </w:numPr>
              <w:suppressAutoHyphens w:val="0"/>
              <w:spacing w:before="120" w:after="120"/>
              <w:ind w:left="454" w:hanging="357"/>
              <w:contextualSpacing w:val="0"/>
              <w:textAlignment w:val="baseline"/>
              <w:rPr>
                <w:rFonts w:asciiTheme="minorHAnsi" w:eastAsia="Times New Roman" w:hAnsiTheme="minorHAnsi" w:cs="Segoe UI"/>
                <w:color w:val="auto"/>
                <w:lang w:eastAsia="en-AU"/>
              </w:rPr>
            </w:pPr>
            <w:r>
              <w:rPr>
                <w:rFonts w:asciiTheme="minorHAnsi" w:eastAsia="Times New Roman" w:hAnsiTheme="minorHAnsi" w:cs="Segoe UI"/>
                <w:color w:val="auto"/>
                <w:lang w:eastAsia="en-AU"/>
              </w:rPr>
              <w:t xml:space="preserve">There is </w:t>
            </w:r>
            <w:r w:rsidR="001E2F00">
              <w:rPr>
                <w:rFonts w:asciiTheme="minorHAnsi" w:eastAsia="Times New Roman" w:hAnsiTheme="minorHAnsi" w:cs="Segoe UI"/>
                <w:color w:val="auto"/>
                <w:lang w:eastAsia="en-AU"/>
              </w:rPr>
              <w:t>a significant amount of research on the need for</w:t>
            </w:r>
            <w:r w:rsidR="00CE1514">
              <w:rPr>
                <w:rFonts w:asciiTheme="minorHAnsi" w:eastAsia="Times New Roman" w:hAnsiTheme="minorHAnsi" w:cs="Segoe UI"/>
                <w:color w:val="auto"/>
                <w:lang w:eastAsia="en-AU"/>
              </w:rPr>
              <w:t xml:space="preserve"> more social </w:t>
            </w:r>
            <w:r w:rsidR="001E2F00">
              <w:rPr>
                <w:rFonts w:asciiTheme="minorHAnsi" w:eastAsia="Times New Roman" w:hAnsiTheme="minorHAnsi" w:cs="Segoe UI"/>
                <w:color w:val="auto"/>
                <w:lang w:eastAsia="en-AU"/>
              </w:rPr>
              <w:t xml:space="preserve">and affordable housing. </w:t>
            </w:r>
            <w:r w:rsidR="00B4642E">
              <w:rPr>
                <w:rFonts w:asciiTheme="minorHAnsi" w:eastAsia="Times New Roman" w:hAnsiTheme="minorHAnsi" w:cs="Segoe UI"/>
                <w:color w:val="auto"/>
                <w:lang w:eastAsia="en-AU"/>
              </w:rPr>
              <w:t>AHURI</w:t>
            </w:r>
            <w:r w:rsidR="00344850">
              <w:rPr>
                <w:rFonts w:asciiTheme="minorHAnsi" w:eastAsia="Times New Roman" w:hAnsiTheme="minorHAnsi" w:cs="Segoe UI"/>
                <w:color w:val="auto"/>
                <w:lang w:eastAsia="en-AU"/>
              </w:rPr>
              <w:t xml:space="preserve"> (2023)</w:t>
            </w:r>
            <w:r w:rsidR="00B4642E">
              <w:rPr>
                <w:rFonts w:asciiTheme="minorHAnsi" w:eastAsia="Times New Roman" w:hAnsiTheme="minorHAnsi" w:cs="Segoe UI"/>
                <w:color w:val="auto"/>
                <w:lang w:eastAsia="en-AU"/>
              </w:rPr>
              <w:t xml:space="preserve"> found that ‘d</w:t>
            </w:r>
            <w:r w:rsidR="0042760B" w:rsidRPr="00A67D7C">
              <w:rPr>
                <w:rFonts w:asciiTheme="minorHAnsi" w:eastAsia="Times New Roman" w:hAnsiTheme="minorHAnsi" w:cs="Segoe UI"/>
                <w:color w:val="auto"/>
                <w:lang w:eastAsia="en-AU"/>
              </w:rPr>
              <w:t>etermining just </w:t>
            </w:r>
            <w:hyperlink r:id="rId10" w:history="1">
              <w:r w:rsidR="0042760B" w:rsidRPr="00A67D7C">
                <w:rPr>
                  <w:rFonts w:asciiTheme="minorHAnsi" w:eastAsia="Times New Roman" w:hAnsiTheme="minorHAnsi" w:cs="Segoe UI"/>
                  <w:color w:val="auto"/>
                  <w:lang w:eastAsia="en-AU"/>
                </w:rPr>
                <w:t>what is the right level of social housing in a healthy housing system</w:t>
              </w:r>
            </w:hyperlink>
            <w:r w:rsidR="0042760B" w:rsidRPr="00A67D7C">
              <w:rPr>
                <w:rFonts w:asciiTheme="minorHAnsi" w:eastAsia="Times New Roman" w:hAnsiTheme="minorHAnsi" w:cs="Segoe UI"/>
                <w:color w:val="auto"/>
                <w:lang w:eastAsia="en-AU"/>
              </w:rPr>
              <w:t> is complex. While the 2021 Census recorded there were almost 350,000 </w:t>
            </w:r>
            <w:hyperlink r:id="rId11" w:history="1">
              <w:r w:rsidR="0042760B" w:rsidRPr="00A67D7C">
                <w:rPr>
                  <w:rFonts w:asciiTheme="minorHAnsi" w:eastAsia="Times New Roman" w:hAnsiTheme="minorHAnsi" w:cs="Segoe UI"/>
                  <w:color w:val="auto"/>
                  <w:lang w:eastAsia="en-AU"/>
                </w:rPr>
                <w:t>social housing dwellings</w:t>
              </w:r>
            </w:hyperlink>
            <w:r w:rsidR="0042760B" w:rsidRPr="00A67D7C">
              <w:rPr>
                <w:rFonts w:asciiTheme="minorHAnsi" w:eastAsia="Times New Roman" w:hAnsiTheme="minorHAnsi" w:cs="Segoe UI"/>
                <w:color w:val="auto"/>
                <w:lang w:eastAsia="en-AU"/>
              </w:rPr>
              <w:t> across Australia (just shy of 4% of the number of all households), at the end of June 2021 there were another almost 165,000 </w:t>
            </w:r>
            <w:hyperlink r:id="rId12" w:history="1">
              <w:r w:rsidR="0042760B" w:rsidRPr="00A67D7C">
                <w:rPr>
                  <w:rFonts w:asciiTheme="minorHAnsi" w:eastAsia="Times New Roman" w:hAnsiTheme="minorHAnsi" w:cs="Segoe UI"/>
                  <w:color w:val="auto"/>
                  <w:lang w:eastAsia="en-AU"/>
                </w:rPr>
                <w:t>applicants on the waiting lists for public housing, more than 40,000 applicants for community housing and just over 12,000 applicants for State owned and managed Indigenous housing</w:t>
              </w:r>
            </w:hyperlink>
            <w:r w:rsidR="0042760B" w:rsidRPr="00A67D7C">
              <w:rPr>
                <w:rFonts w:asciiTheme="minorHAnsi" w:eastAsia="Times New Roman" w:hAnsiTheme="minorHAnsi" w:cs="Segoe UI"/>
                <w:color w:val="auto"/>
                <w:lang w:eastAsia="en-AU"/>
              </w:rPr>
              <w:t>. If we add together all the households on the waiting list and those already in social housing, we find that over half a million (close to 565,000, or just over 6 per cent) Australian households were living in, or had requested to live in, a form of social housing. </w:t>
            </w:r>
            <w:hyperlink r:id="rId13" w:history="1">
              <w:r w:rsidR="0042760B" w:rsidRPr="00A67D7C">
                <w:rPr>
                  <w:rFonts w:asciiTheme="minorHAnsi" w:eastAsia="Times New Roman" w:hAnsiTheme="minorHAnsi" w:cs="Segoe UI"/>
                  <w:color w:val="auto"/>
                  <w:lang w:eastAsia="en-AU"/>
                </w:rPr>
                <w:t>AHURI has projected growth in demand for social housing to the year 2037, estimating that over 1.1 million social dwellings will be needed by that point</w:t>
              </w:r>
            </w:hyperlink>
            <w:r w:rsidR="00B4642E">
              <w:rPr>
                <w:rFonts w:asciiTheme="minorHAnsi" w:eastAsia="Times New Roman" w:hAnsiTheme="minorHAnsi" w:cs="Segoe UI"/>
                <w:color w:val="auto"/>
                <w:lang w:eastAsia="en-AU"/>
              </w:rPr>
              <w:t>’</w:t>
            </w:r>
            <w:r w:rsidR="005B6F37">
              <w:rPr>
                <w:rStyle w:val="EndnoteReference"/>
                <w:rFonts w:asciiTheme="minorHAnsi" w:eastAsia="Times New Roman" w:hAnsiTheme="minorHAnsi" w:cs="Segoe UI"/>
                <w:color w:val="auto"/>
                <w:lang w:eastAsia="en-AU"/>
              </w:rPr>
              <w:endnoteReference w:id="5"/>
            </w:r>
            <w:r w:rsidR="00B4642E">
              <w:rPr>
                <w:rFonts w:asciiTheme="minorHAnsi" w:eastAsia="Times New Roman" w:hAnsiTheme="minorHAnsi" w:cs="Segoe UI"/>
                <w:color w:val="auto"/>
                <w:lang w:eastAsia="en-AU"/>
              </w:rPr>
              <w:t>.</w:t>
            </w:r>
            <w:r w:rsidR="0042760B" w:rsidRPr="00A67D7C">
              <w:rPr>
                <w:rFonts w:asciiTheme="minorHAnsi" w:eastAsia="Times New Roman" w:hAnsiTheme="minorHAnsi" w:cs="Segoe UI"/>
                <w:color w:val="auto"/>
                <w:lang w:eastAsia="en-AU"/>
              </w:rPr>
              <w:t> </w:t>
            </w:r>
          </w:p>
          <w:p w14:paraId="1AB3CA74" w14:textId="58252BA1" w:rsidR="00F87B78" w:rsidRPr="00A67D7C" w:rsidRDefault="003F71FE" w:rsidP="00B13429">
            <w:pPr>
              <w:pStyle w:val="ListParagraph"/>
              <w:numPr>
                <w:ilvl w:val="0"/>
                <w:numId w:val="50"/>
              </w:numPr>
              <w:suppressAutoHyphens w:val="0"/>
              <w:spacing w:before="120" w:after="120"/>
              <w:ind w:left="454" w:hanging="357"/>
              <w:contextualSpacing w:val="0"/>
              <w:textAlignment w:val="baseline"/>
              <w:rPr>
                <w:rFonts w:asciiTheme="minorHAnsi" w:eastAsia="Times New Roman" w:hAnsiTheme="minorHAnsi" w:cs="Segoe UI"/>
                <w:color w:val="auto"/>
                <w:lang w:eastAsia="en-AU"/>
              </w:rPr>
            </w:pPr>
            <w:r w:rsidRPr="00151F0E">
              <w:rPr>
                <w:rFonts w:asciiTheme="minorHAnsi" w:eastAsia="Times New Roman" w:hAnsiTheme="minorHAnsi" w:cs="Segoe UI"/>
                <w:color w:val="auto"/>
                <w:lang w:eastAsia="en-AU"/>
              </w:rPr>
              <w:t>The person-centred and creative use of brokerage funding has been evidenced as a key mechanism in preventing homelessness and delivering housing outcomes that otherwise would not be possible. This includes for advance rent payments and purchase of household items</w:t>
            </w:r>
            <w:r w:rsidRPr="00151F0E">
              <w:rPr>
                <w:color w:val="auto"/>
                <w:vertAlign w:val="superscript"/>
                <w:lang w:eastAsia="en-AU"/>
              </w:rPr>
              <w:endnoteReference w:id="6"/>
            </w:r>
            <w:r w:rsidRPr="00151F0E">
              <w:rPr>
                <w:rFonts w:asciiTheme="minorHAnsi" w:eastAsia="Times New Roman" w:hAnsiTheme="minorHAnsi" w:cs="Segoe UI"/>
                <w:color w:val="auto"/>
                <w:lang w:eastAsia="en-AU"/>
              </w:rPr>
              <w:t>. Brokerage is of even greater importance for Aboriginal clients, for whom poverty and loss of culture is a key driver, and use brokerage funds to pay for debt, rental arrears, and to return to Country and participate in ceremony. </w:t>
            </w:r>
          </w:p>
        </w:tc>
      </w:tr>
      <w:tr w:rsidR="0003360A" w:rsidRPr="006156FF" w14:paraId="6B1883D5" w14:textId="77777777" w:rsidTr="00584105">
        <w:trPr>
          <w:trHeight w:val="644"/>
        </w:trPr>
        <w:tc>
          <w:tcPr>
            <w:tcW w:w="1778" w:type="dxa"/>
            <w:tcBorders>
              <w:top w:val="single" w:sz="4" w:space="0" w:color="auto"/>
              <w:left w:val="single" w:sz="4" w:space="0" w:color="auto"/>
              <w:right w:val="single" w:sz="4" w:space="0" w:color="auto"/>
            </w:tcBorders>
            <w:shd w:val="clear" w:color="auto" w:fill="FFFFFF" w:themeFill="background1"/>
          </w:tcPr>
          <w:p w14:paraId="07C30DD0" w14:textId="3442939C" w:rsidR="0003360A" w:rsidRPr="00442753" w:rsidRDefault="008616EB" w:rsidP="00A1262B">
            <w:pPr>
              <w:suppressAutoHyphens w:val="0"/>
              <w:spacing w:before="120" w:after="120"/>
              <w:textAlignment w:val="baseline"/>
              <w:rPr>
                <w:rFonts w:asciiTheme="minorHAnsi" w:eastAsia="Times New Roman" w:hAnsiTheme="minorHAnsi" w:cs="Segoe UI"/>
                <w:b/>
                <w:bCs/>
                <w:color w:val="auto"/>
                <w:lang w:eastAsia="en-AU"/>
              </w:rPr>
            </w:pPr>
            <w:r>
              <w:rPr>
                <w:rFonts w:asciiTheme="minorHAnsi" w:eastAsia="Times New Roman" w:hAnsiTheme="minorHAnsi" w:cs="Segoe UI"/>
                <w:b/>
                <w:bCs/>
                <w:color w:val="auto"/>
                <w:lang w:eastAsia="en-AU"/>
              </w:rPr>
              <w:t xml:space="preserve">1.2 </w:t>
            </w:r>
            <w:r w:rsidR="0003360A" w:rsidRPr="00442753">
              <w:rPr>
                <w:rFonts w:asciiTheme="minorHAnsi" w:eastAsia="Times New Roman" w:hAnsiTheme="minorHAnsi" w:cs="Segoe UI"/>
                <w:b/>
                <w:bCs/>
                <w:color w:val="auto"/>
                <w:lang w:eastAsia="en-AU"/>
              </w:rPr>
              <w:t xml:space="preserve">People at risk of homelessness are identified early and </w:t>
            </w:r>
            <w:r w:rsidR="00AB2AB5" w:rsidRPr="00442753">
              <w:rPr>
                <w:rFonts w:asciiTheme="minorHAnsi" w:eastAsia="Times New Roman" w:hAnsiTheme="minorHAnsi" w:cs="Segoe UI"/>
                <w:b/>
                <w:bCs/>
                <w:color w:val="auto"/>
                <w:lang w:eastAsia="en-AU"/>
              </w:rPr>
              <w:t xml:space="preserve">linked with </w:t>
            </w:r>
            <w:r w:rsidR="0003360A" w:rsidRPr="00442753">
              <w:rPr>
                <w:rFonts w:asciiTheme="minorHAnsi" w:eastAsia="Times New Roman" w:hAnsiTheme="minorHAnsi" w:cs="Segoe UI"/>
                <w:b/>
                <w:bCs/>
                <w:color w:val="auto"/>
                <w:lang w:eastAsia="en-AU"/>
              </w:rPr>
              <w:t>the right supports </w:t>
            </w:r>
          </w:p>
        </w:tc>
        <w:tc>
          <w:tcPr>
            <w:tcW w:w="8420" w:type="dxa"/>
            <w:tcBorders>
              <w:top w:val="single" w:sz="4" w:space="0" w:color="auto"/>
              <w:left w:val="single" w:sz="4" w:space="0" w:color="auto"/>
              <w:bottom w:val="single" w:sz="4" w:space="0" w:color="auto"/>
              <w:right w:val="single" w:sz="4" w:space="0" w:color="auto"/>
            </w:tcBorders>
            <w:shd w:val="clear" w:color="auto" w:fill="auto"/>
          </w:tcPr>
          <w:p w14:paraId="60F5A3E0" w14:textId="0880B53E" w:rsidR="0003360A" w:rsidRPr="00A1262B" w:rsidRDefault="0003360A" w:rsidP="00B13429">
            <w:pPr>
              <w:pStyle w:val="ListParagraph"/>
              <w:numPr>
                <w:ilvl w:val="0"/>
                <w:numId w:val="54"/>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sidRPr="00A1262B">
              <w:rPr>
                <w:rFonts w:asciiTheme="minorHAnsi" w:eastAsia="Times New Roman" w:hAnsiTheme="minorHAnsi" w:cs="Segoe UI"/>
                <w:color w:val="auto"/>
                <w:lang w:eastAsia="en-AU"/>
              </w:rPr>
              <w:t>Some cohorts of people are at greater risk of homelessness than others. The evidence for best practice prevention and early intervention indicates the need for targeted, person-centred approaches to identify and address the risk factors for each of these cohorts</w:t>
            </w:r>
            <w:r w:rsidR="00106698" w:rsidRPr="00A1262B">
              <w:rPr>
                <w:color w:val="auto"/>
                <w:vertAlign w:val="superscript"/>
                <w:lang w:eastAsia="en-AU"/>
              </w:rPr>
              <w:endnoteReference w:id="7"/>
            </w:r>
            <w:r w:rsidRPr="00A1262B">
              <w:rPr>
                <w:rFonts w:asciiTheme="minorHAnsi" w:eastAsia="Times New Roman" w:hAnsiTheme="minorHAnsi" w:cs="Segoe UI"/>
                <w:color w:val="auto"/>
                <w:lang w:eastAsia="en-AU"/>
              </w:rPr>
              <w:t>.  </w:t>
            </w:r>
          </w:p>
          <w:p w14:paraId="4A9CB4DF" w14:textId="10126DBE" w:rsidR="0003360A" w:rsidRPr="00A1262B" w:rsidRDefault="0003360A" w:rsidP="00B13429">
            <w:pPr>
              <w:pStyle w:val="ListParagraph"/>
              <w:numPr>
                <w:ilvl w:val="0"/>
                <w:numId w:val="54"/>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sidRPr="00A1262B">
              <w:rPr>
                <w:rFonts w:asciiTheme="minorHAnsi" w:eastAsia="Times New Roman" w:hAnsiTheme="minorHAnsi" w:cs="Segoe UI"/>
                <w:color w:val="auto"/>
                <w:lang w:val="en-GB" w:eastAsia="en-AU"/>
              </w:rPr>
              <w:t xml:space="preserve">Evidence also suggests that high-risk cohorts often present with challenges to education, health and criminal justice sectors before they present to housing and homelessness services. This points to the need for greater collaboration between </w:t>
            </w:r>
            <w:r w:rsidRPr="00A1262B">
              <w:rPr>
                <w:rFonts w:asciiTheme="minorHAnsi" w:eastAsia="Times New Roman" w:hAnsiTheme="minorHAnsi" w:cs="Segoe UI"/>
                <w:color w:val="auto"/>
                <w:lang w:val="en-GB" w:eastAsia="en-AU"/>
              </w:rPr>
              <w:lastRenderedPageBreak/>
              <w:t xml:space="preserve">government services and </w:t>
            </w:r>
            <w:r w:rsidRPr="00A1262B">
              <w:rPr>
                <w:rFonts w:asciiTheme="minorHAnsi" w:eastAsia="Times New Roman" w:hAnsiTheme="minorHAnsi" w:cs="Segoe UI"/>
                <w:color w:val="auto"/>
                <w:lang w:eastAsia="en-AU"/>
              </w:rPr>
              <w:t>capability uplift within mainstream services to support early identification</w:t>
            </w:r>
            <w:r w:rsidR="00106698" w:rsidRPr="00A1262B">
              <w:rPr>
                <w:color w:val="auto"/>
                <w:vertAlign w:val="superscript"/>
                <w:lang w:val="en-GB" w:eastAsia="en-AU"/>
              </w:rPr>
              <w:endnoteReference w:id="8"/>
            </w:r>
            <w:r w:rsidR="00106698" w:rsidRPr="00A1262B">
              <w:rPr>
                <w:rFonts w:asciiTheme="minorHAnsi" w:eastAsia="Times New Roman" w:hAnsiTheme="minorHAnsi" w:cs="Segoe UI"/>
                <w:color w:val="auto"/>
                <w:lang w:eastAsia="en-AU"/>
              </w:rPr>
              <w:t> </w:t>
            </w:r>
            <w:r w:rsidR="00106698" w:rsidRPr="00A1262B">
              <w:rPr>
                <w:color w:val="auto"/>
                <w:vertAlign w:val="superscript"/>
                <w:lang w:eastAsia="en-AU"/>
              </w:rPr>
              <w:endnoteReference w:id="9"/>
            </w:r>
            <w:r w:rsidRPr="00A1262B">
              <w:rPr>
                <w:rFonts w:asciiTheme="minorHAnsi" w:eastAsia="Times New Roman" w:hAnsiTheme="minorHAnsi" w:cs="Segoe UI"/>
                <w:color w:val="auto"/>
                <w:lang w:val="en-GB" w:eastAsia="en-AU"/>
              </w:rPr>
              <w:t>.</w:t>
            </w:r>
          </w:p>
          <w:p w14:paraId="53A8F850" w14:textId="77777777" w:rsidR="0003360A" w:rsidRDefault="0003360A" w:rsidP="00B13429">
            <w:pPr>
              <w:pStyle w:val="ListParagraph"/>
              <w:numPr>
                <w:ilvl w:val="0"/>
                <w:numId w:val="54"/>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sidRPr="00A1262B">
              <w:rPr>
                <w:rFonts w:asciiTheme="minorHAnsi" w:eastAsia="Times New Roman" w:hAnsiTheme="minorHAnsi" w:cs="Segoe UI"/>
                <w:color w:val="auto"/>
                <w:lang w:eastAsia="en-AU"/>
              </w:rPr>
              <w:t>Investing in primary prevention for young people produces greater benefits over the lifetime including increased potential lifetime earnings associated with greater school attendance. There is some emerging evidence for the effectiveness of universal screening programs in improving housing stability and lifetime outcomes for young people. Evaluations of pilot programs demonstrate an up to 40 per cent decrease in young people aged 12-18 entering the Specialist Homelessness Service system, though levels of effectiveness vary</w:t>
            </w:r>
            <w:r w:rsidRPr="00A1262B">
              <w:rPr>
                <w:color w:val="auto"/>
                <w:vertAlign w:val="superscript"/>
                <w:lang w:eastAsia="en-AU"/>
              </w:rPr>
              <w:endnoteReference w:id="10"/>
            </w:r>
            <w:r w:rsidR="00106698" w:rsidRPr="00A1262B">
              <w:rPr>
                <w:rFonts w:asciiTheme="minorHAnsi" w:eastAsia="Times New Roman" w:hAnsiTheme="minorHAnsi" w:cs="Segoe UI"/>
                <w:color w:val="auto"/>
                <w:lang w:eastAsia="en-AU"/>
              </w:rPr>
              <w:t>.</w:t>
            </w:r>
            <w:r w:rsidRPr="00A1262B">
              <w:rPr>
                <w:rFonts w:asciiTheme="minorHAnsi" w:eastAsia="Times New Roman" w:hAnsiTheme="minorHAnsi" w:cs="Segoe UI"/>
                <w:color w:val="auto"/>
                <w:lang w:eastAsia="en-AU"/>
              </w:rPr>
              <w:t> </w:t>
            </w:r>
          </w:p>
          <w:p w14:paraId="1DF4BA13" w14:textId="77777777" w:rsidR="00902B84" w:rsidRPr="00902B84" w:rsidRDefault="00902B84" w:rsidP="00902B84">
            <w:pPr>
              <w:suppressAutoHyphens w:val="0"/>
              <w:spacing w:before="120" w:after="120"/>
              <w:textAlignment w:val="baseline"/>
              <w:rPr>
                <w:rFonts w:asciiTheme="minorHAnsi" w:eastAsia="Times New Roman" w:hAnsiTheme="minorHAnsi" w:cs="Segoe UI"/>
                <w:b/>
                <w:bCs/>
                <w:color w:val="auto"/>
                <w:lang w:eastAsia="en-AU"/>
              </w:rPr>
            </w:pPr>
            <w:r w:rsidRPr="00902B84">
              <w:rPr>
                <w:rFonts w:asciiTheme="minorHAnsi" w:eastAsia="Times New Roman" w:hAnsiTheme="minorHAnsi" w:cs="Segoe UI"/>
                <w:b/>
                <w:bCs/>
                <w:color w:val="auto"/>
                <w:lang w:eastAsia="en-AU"/>
              </w:rPr>
              <w:t>People leaving government services</w:t>
            </w:r>
          </w:p>
          <w:p w14:paraId="50932E69" w14:textId="77777777" w:rsidR="00902B84" w:rsidRPr="00151F0E" w:rsidRDefault="00902B84" w:rsidP="00B13429">
            <w:pPr>
              <w:pStyle w:val="ListParagraph"/>
              <w:numPr>
                <w:ilvl w:val="0"/>
                <w:numId w:val="50"/>
              </w:numPr>
              <w:suppressAutoHyphens w:val="0"/>
              <w:spacing w:before="120" w:after="120"/>
              <w:ind w:left="454"/>
              <w:textAlignment w:val="baseline"/>
              <w:rPr>
                <w:rFonts w:asciiTheme="minorHAnsi" w:eastAsia="Times New Roman" w:hAnsiTheme="minorHAnsi" w:cs="Segoe UI"/>
                <w:color w:val="auto"/>
                <w:lang w:eastAsia="en-AU"/>
              </w:rPr>
            </w:pPr>
            <w:r w:rsidRPr="00A1262B">
              <w:rPr>
                <w:rFonts w:asciiTheme="minorHAnsi" w:eastAsia="Times New Roman" w:hAnsiTheme="minorHAnsi" w:cs="Segoe UI"/>
                <w:color w:val="auto"/>
                <w:lang w:val="en-GB" w:eastAsia="en-AU"/>
              </w:rPr>
              <w:t>People leaving government facilities</w:t>
            </w:r>
            <w:r w:rsidRPr="00151F0E">
              <w:rPr>
                <w:rFonts w:asciiTheme="minorHAnsi" w:eastAsia="Times New Roman" w:hAnsiTheme="minorHAnsi" w:cs="Segoe UI"/>
                <w:color w:val="auto"/>
                <w:lang w:val="en-GB" w:eastAsia="en-AU"/>
              </w:rPr>
              <w:t xml:space="preserve"> are often at the highest risk of experiencing homelessness. For example: </w:t>
            </w:r>
            <w:r w:rsidRPr="00151F0E">
              <w:rPr>
                <w:rFonts w:asciiTheme="minorHAnsi" w:eastAsia="Times New Roman" w:hAnsiTheme="minorHAnsi" w:cs="Segoe UI"/>
                <w:color w:val="auto"/>
                <w:lang w:eastAsia="en-AU"/>
              </w:rPr>
              <w:t> </w:t>
            </w:r>
          </w:p>
          <w:p w14:paraId="3968653C" w14:textId="77777777" w:rsidR="00902B84" w:rsidRDefault="00902B84" w:rsidP="00B13429">
            <w:pPr>
              <w:numPr>
                <w:ilvl w:val="0"/>
                <w:numId w:val="51"/>
              </w:numPr>
              <w:suppressAutoHyphens w:val="0"/>
              <w:spacing w:before="120" w:after="120"/>
              <w:ind w:left="754" w:hanging="357"/>
              <w:textAlignment w:val="baseline"/>
              <w:rPr>
                <w:rFonts w:asciiTheme="minorHAnsi" w:eastAsia="Times New Roman" w:hAnsiTheme="minorHAnsi" w:cs="Segoe UI"/>
                <w:color w:val="auto"/>
                <w:lang w:eastAsia="en-AU"/>
              </w:rPr>
            </w:pPr>
            <w:r w:rsidRPr="006156FF">
              <w:rPr>
                <w:rFonts w:asciiTheme="minorHAnsi" w:eastAsia="Times New Roman" w:hAnsiTheme="minorHAnsi" w:cs="Segoe UI"/>
                <w:color w:val="auto"/>
                <w:lang w:val="en-GB" w:eastAsia="en-AU"/>
              </w:rPr>
              <w:t>More than half of people preparing to leave prison expected to be homeless and, of that, 44 per cent expected to sleep in short-term or emergency accommodation</w:t>
            </w:r>
            <w:r w:rsidRPr="006156FF">
              <w:rPr>
                <w:rFonts w:asciiTheme="minorHAnsi" w:eastAsia="Times New Roman" w:hAnsiTheme="minorHAnsi" w:cs="Segoe UI"/>
                <w:color w:val="auto"/>
                <w:vertAlign w:val="superscript"/>
                <w:lang w:val="en-GB" w:eastAsia="en-AU"/>
              </w:rPr>
              <w:endnoteReference w:id="11"/>
            </w:r>
            <w:r w:rsidRPr="006156FF">
              <w:rPr>
                <w:rFonts w:asciiTheme="minorHAnsi" w:eastAsia="Times New Roman" w:hAnsiTheme="minorHAnsi" w:cs="Segoe UI"/>
                <w:color w:val="auto"/>
                <w:lang w:val="en-GB" w:eastAsia="en-AU"/>
              </w:rPr>
              <w:t>.</w:t>
            </w:r>
            <w:r w:rsidRPr="006156FF">
              <w:rPr>
                <w:rFonts w:asciiTheme="minorHAnsi" w:eastAsia="Times New Roman" w:hAnsiTheme="minorHAnsi" w:cs="Segoe UI"/>
                <w:color w:val="auto"/>
                <w:lang w:eastAsia="en-AU"/>
              </w:rPr>
              <w:t> </w:t>
            </w:r>
          </w:p>
          <w:p w14:paraId="750088A2" w14:textId="77777777" w:rsidR="00902B84" w:rsidRDefault="00902B84" w:rsidP="00B13429">
            <w:pPr>
              <w:numPr>
                <w:ilvl w:val="0"/>
                <w:numId w:val="51"/>
              </w:numPr>
              <w:suppressAutoHyphens w:val="0"/>
              <w:spacing w:before="120" w:after="120"/>
              <w:ind w:left="754" w:hanging="357"/>
              <w:textAlignment w:val="baseline"/>
              <w:rPr>
                <w:rFonts w:asciiTheme="minorHAnsi" w:eastAsia="Times New Roman" w:hAnsiTheme="minorHAnsi" w:cs="Segoe UI"/>
                <w:color w:val="auto"/>
                <w:lang w:eastAsia="en-AU"/>
              </w:rPr>
            </w:pPr>
            <w:r w:rsidRPr="00A1262B">
              <w:rPr>
                <w:rFonts w:asciiTheme="minorHAnsi" w:eastAsia="Times New Roman" w:hAnsiTheme="minorHAnsi" w:cs="Segoe UI"/>
                <w:color w:val="auto"/>
                <w:lang w:val="en-GB" w:eastAsia="en-AU"/>
              </w:rPr>
              <w:t>People exiting mental health facilities face significant challenges securing and sustaining stable and/or long-term housing</w:t>
            </w:r>
            <w:r w:rsidRPr="006156FF">
              <w:rPr>
                <w:rFonts w:asciiTheme="minorHAnsi" w:eastAsia="Times New Roman" w:hAnsiTheme="minorHAnsi" w:cs="Segoe UI"/>
                <w:color w:val="auto"/>
                <w:vertAlign w:val="superscript"/>
                <w:lang w:val="en-GB" w:eastAsia="en-AU"/>
              </w:rPr>
              <w:endnoteReference w:id="12"/>
            </w:r>
            <w:r w:rsidRPr="00A1262B">
              <w:rPr>
                <w:rFonts w:asciiTheme="minorHAnsi" w:eastAsia="Times New Roman" w:hAnsiTheme="minorHAnsi" w:cs="Segoe UI"/>
                <w:color w:val="auto"/>
                <w:lang w:val="en-GB" w:eastAsia="en-AU"/>
              </w:rPr>
              <w:t>.</w:t>
            </w:r>
            <w:r w:rsidRPr="00A1262B">
              <w:rPr>
                <w:rFonts w:asciiTheme="minorHAnsi" w:eastAsia="Times New Roman" w:hAnsiTheme="minorHAnsi" w:cs="Segoe UI"/>
                <w:color w:val="auto"/>
                <w:lang w:eastAsia="en-AU"/>
              </w:rPr>
              <w:t> </w:t>
            </w:r>
          </w:p>
          <w:p w14:paraId="3086A6E3" w14:textId="77777777" w:rsidR="00902B84" w:rsidRPr="00A1262B" w:rsidRDefault="00902B84" w:rsidP="00B13429">
            <w:pPr>
              <w:numPr>
                <w:ilvl w:val="0"/>
                <w:numId w:val="51"/>
              </w:numPr>
              <w:suppressAutoHyphens w:val="0"/>
              <w:spacing w:before="120" w:after="120"/>
              <w:ind w:left="754" w:hanging="357"/>
              <w:textAlignment w:val="baseline"/>
              <w:rPr>
                <w:rFonts w:asciiTheme="minorHAnsi" w:eastAsia="Times New Roman" w:hAnsiTheme="minorHAnsi" w:cs="Segoe UI"/>
                <w:color w:val="auto"/>
                <w:lang w:eastAsia="en-AU"/>
              </w:rPr>
            </w:pPr>
            <w:r w:rsidRPr="00A1262B">
              <w:rPr>
                <w:rFonts w:asciiTheme="minorHAnsi" w:eastAsia="Times New Roman" w:hAnsiTheme="minorHAnsi" w:cs="Segoe UI"/>
                <w:color w:val="auto"/>
                <w:lang w:eastAsia="en-AU"/>
              </w:rPr>
              <w:t>54 per cent of OOHC (out of home care) leavers access homelessness services in the four years after exit, and experience high levels of repeat use of SHS, particularly for Indigenous care leavers</w:t>
            </w:r>
            <w:r w:rsidRPr="006156FF">
              <w:rPr>
                <w:rFonts w:asciiTheme="minorHAnsi" w:eastAsia="Times New Roman" w:hAnsiTheme="minorHAnsi" w:cs="Segoe UI"/>
                <w:color w:val="auto"/>
                <w:vertAlign w:val="superscript"/>
                <w:lang w:eastAsia="en-AU"/>
              </w:rPr>
              <w:endnoteReference w:id="13"/>
            </w:r>
            <w:r w:rsidRPr="00A1262B">
              <w:rPr>
                <w:rFonts w:asciiTheme="minorHAnsi" w:eastAsia="Times New Roman" w:hAnsiTheme="minorHAnsi" w:cs="Segoe UI"/>
                <w:color w:val="auto"/>
                <w:lang w:eastAsia="en-AU"/>
              </w:rPr>
              <w:t>.</w:t>
            </w:r>
          </w:p>
          <w:p w14:paraId="322D39D0" w14:textId="4AD5E861" w:rsidR="00902B84" w:rsidRDefault="00902B84" w:rsidP="00B13429">
            <w:pPr>
              <w:pStyle w:val="ListParagraph"/>
              <w:numPr>
                <w:ilvl w:val="0"/>
                <w:numId w:val="52"/>
              </w:numPr>
              <w:suppressAutoHyphens w:val="0"/>
              <w:spacing w:before="120" w:after="120"/>
              <w:ind w:left="453" w:hanging="357"/>
              <w:contextualSpacing w:val="0"/>
              <w:textAlignment w:val="baseline"/>
              <w:rPr>
                <w:rFonts w:asciiTheme="minorHAnsi" w:hAnsiTheme="minorHAnsi"/>
                <w:color w:val="auto"/>
              </w:rPr>
            </w:pPr>
            <w:r w:rsidRPr="00A1262B">
              <w:rPr>
                <w:rFonts w:asciiTheme="minorHAnsi" w:eastAsia="Times New Roman" w:hAnsiTheme="minorHAnsi" w:cs="Segoe UI"/>
                <w:color w:val="auto"/>
                <w:lang w:val="en-GB" w:eastAsia="en-AU"/>
              </w:rPr>
              <w:t xml:space="preserve">The House of Representatives Standing Committee on Social Policy and Legal Affairs </w:t>
            </w:r>
            <w:r w:rsidR="00584105">
              <w:rPr>
                <w:rFonts w:asciiTheme="minorHAnsi" w:eastAsia="Times New Roman" w:hAnsiTheme="minorHAnsi" w:cs="Segoe UI"/>
                <w:color w:val="auto"/>
                <w:lang w:val="en-GB" w:eastAsia="en-AU"/>
              </w:rPr>
              <w:t>I</w:t>
            </w:r>
            <w:r w:rsidRPr="00A1262B">
              <w:rPr>
                <w:rFonts w:asciiTheme="minorHAnsi" w:eastAsia="Times New Roman" w:hAnsiTheme="minorHAnsi" w:cs="Segoe UI"/>
                <w:color w:val="auto"/>
                <w:lang w:val="en-GB" w:eastAsia="en-AU"/>
              </w:rPr>
              <w:t>nquiry into homelessness in Australia</w:t>
            </w:r>
            <w:r w:rsidRPr="00A63969">
              <w:rPr>
                <w:rFonts w:asciiTheme="minorHAnsi" w:eastAsia="Times New Roman" w:hAnsiTheme="minorHAnsi" w:cs="Segoe UI"/>
                <w:color w:val="auto"/>
                <w:vertAlign w:val="superscript"/>
                <w:lang w:val="en-GB" w:eastAsia="en-AU"/>
              </w:rPr>
              <w:endnoteReference w:id="14"/>
            </w:r>
            <w:r w:rsidRPr="00A1262B">
              <w:rPr>
                <w:rFonts w:asciiTheme="minorHAnsi" w:eastAsia="Times New Roman" w:hAnsiTheme="minorHAnsi" w:cs="Segoe UI"/>
                <w:color w:val="auto"/>
                <w:lang w:val="en-GB" w:eastAsia="en-AU"/>
              </w:rPr>
              <w:t xml:space="preserve"> recommend</w:t>
            </w:r>
            <w:r w:rsidR="00584105">
              <w:rPr>
                <w:rFonts w:asciiTheme="minorHAnsi" w:eastAsia="Times New Roman" w:hAnsiTheme="minorHAnsi" w:cs="Segoe UI"/>
                <w:color w:val="auto"/>
                <w:lang w:val="en-GB" w:eastAsia="en-AU"/>
              </w:rPr>
              <w:t>ed</w:t>
            </w:r>
            <w:r w:rsidRPr="00A1262B">
              <w:rPr>
                <w:rFonts w:asciiTheme="minorHAnsi" w:eastAsia="Times New Roman" w:hAnsiTheme="minorHAnsi" w:cs="Segoe UI"/>
                <w:color w:val="auto"/>
                <w:lang w:val="en-GB" w:eastAsia="en-AU"/>
              </w:rPr>
              <w:t xml:space="preserve"> that the Australian Government work with state and territory governments to address the risk of exiting into homelessness from state institutions, including hospitals, mental health facilities, correctional institutions and out-of-home-care, including developing a nationally consistent approach to discharge planning and a national definition of ‘no exit into homelessness’. It also recommend</w:t>
            </w:r>
            <w:r w:rsidR="00584105">
              <w:rPr>
                <w:rFonts w:asciiTheme="minorHAnsi" w:eastAsia="Times New Roman" w:hAnsiTheme="minorHAnsi" w:cs="Segoe UI"/>
                <w:color w:val="auto"/>
                <w:lang w:val="en-GB" w:eastAsia="en-AU"/>
              </w:rPr>
              <w:t>ed</w:t>
            </w:r>
            <w:r w:rsidRPr="00A1262B">
              <w:rPr>
                <w:rFonts w:asciiTheme="minorHAnsi" w:eastAsia="Times New Roman" w:hAnsiTheme="minorHAnsi" w:cs="Segoe UI"/>
                <w:color w:val="auto"/>
                <w:lang w:val="en-GB" w:eastAsia="en-AU"/>
              </w:rPr>
              <w:t xml:space="preserve"> that the Australian Government should work with state and territory governments to better integrate housing and mental</w:t>
            </w:r>
            <w:r w:rsidRPr="00A1262B">
              <w:rPr>
                <w:rFonts w:asciiTheme="minorHAnsi" w:hAnsiTheme="minorHAnsi"/>
                <w:color w:val="auto"/>
              </w:rPr>
              <w:t xml:space="preserve"> health support services</w:t>
            </w:r>
            <w:r>
              <w:rPr>
                <w:rStyle w:val="EndnoteReference"/>
                <w:rFonts w:asciiTheme="minorHAnsi" w:hAnsiTheme="minorHAnsi"/>
                <w:color w:val="auto"/>
              </w:rPr>
              <w:endnoteReference w:id="15"/>
            </w:r>
            <w:r w:rsidRPr="00A1262B">
              <w:rPr>
                <w:rFonts w:asciiTheme="minorHAnsi" w:hAnsiTheme="minorHAnsi"/>
                <w:color w:val="auto"/>
              </w:rPr>
              <w:t>.</w:t>
            </w:r>
          </w:p>
          <w:p w14:paraId="40171B49" w14:textId="77777777" w:rsidR="00902B84" w:rsidRPr="00902B84" w:rsidRDefault="00902B84" w:rsidP="00902B84">
            <w:pPr>
              <w:suppressAutoHyphens w:val="0"/>
              <w:spacing w:before="120" w:after="120"/>
              <w:textAlignment w:val="baseline"/>
              <w:rPr>
                <w:rFonts w:asciiTheme="minorHAnsi" w:eastAsia="Times New Roman" w:hAnsiTheme="minorHAnsi" w:cs="Segoe UI"/>
                <w:b/>
                <w:bCs/>
                <w:color w:val="auto"/>
                <w:lang w:eastAsia="en-AU"/>
              </w:rPr>
            </w:pPr>
            <w:r w:rsidRPr="00902B84">
              <w:rPr>
                <w:rFonts w:asciiTheme="minorHAnsi" w:eastAsia="Times New Roman" w:hAnsiTheme="minorHAnsi" w:cs="Segoe UI"/>
                <w:b/>
                <w:bCs/>
                <w:color w:val="auto"/>
                <w:lang w:eastAsia="en-AU"/>
              </w:rPr>
              <w:t>Young people</w:t>
            </w:r>
          </w:p>
          <w:p w14:paraId="517E9B15" w14:textId="77777777" w:rsidR="00902B84" w:rsidRPr="00151F0E" w:rsidRDefault="00902B84" w:rsidP="00B13429">
            <w:pPr>
              <w:pStyle w:val="ListParagraph"/>
              <w:numPr>
                <w:ilvl w:val="0"/>
                <w:numId w:val="50"/>
              </w:numPr>
              <w:suppressAutoHyphens w:val="0"/>
              <w:spacing w:before="120" w:after="120"/>
              <w:ind w:left="454"/>
              <w:contextualSpacing w:val="0"/>
              <w:textAlignment w:val="baseline"/>
              <w:rPr>
                <w:rFonts w:asciiTheme="minorHAnsi" w:hAnsiTheme="minorHAnsi"/>
                <w:color w:val="auto"/>
              </w:rPr>
            </w:pPr>
            <w:r w:rsidRPr="00151F0E">
              <w:rPr>
                <w:rFonts w:asciiTheme="minorHAnsi" w:hAnsiTheme="minorHAnsi"/>
                <w:color w:val="auto"/>
              </w:rPr>
              <w:t xml:space="preserve">Programs such as </w:t>
            </w:r>
            <w:r w:rsidRPr="00151F0E">
              <w:rPr>
                <w:rFonts w:asciiTheme="minorHAnsi" w:hAnsiTheme="minorHAnsi"/>
                <w:i/>
                <w:iCs/>
                <w:color w:val="auto"/>
              </w:rPr>
              <w:t>Kids Under Cover</w:t>
            </w:r>
            <w:r w:rsidRPr="00151F0E">
              <w:rPr>
                <w:rFonts w:asciiTheme="minorHAnsi" w:hAnsiTheme="minorHAnsi"/>
                <w:color w:val="auto"/>
              </w:rPr>
              <w:t xml:space="preserve"> in Victoria are successful early intervention and prevention models that disrupt the spiral of homelessness for young people through the provision of a studio in the backyard of a family or carers home to house young people safely and with their own space, without losing the connection with family</w:t>
            </w:r>
            <w:r w:rsidRPr="00151F0E">
              <w:rPr>
                <w:color w:val="auto"/>
                <w:vertAlign w:val="superscript"/>
              </w:rPr>
              <w:endnoteReference w:id="16"/>
            </w:r>
            <w:r w:rsidRPr="00151F0E">
              <w:rPr>
                <w:rFonts w:asciiTheme="minorHAnsi" w:hAnsiTheme="minorHAnsi"/>
                <w:color w:val="auto"/>
              </w:rPr>
              <w:t>. In 2021/22 631 studios were on the ground providing accommodation to 959 young people who would have otherwise been homeless. The program also provides scholarships and other support.</w:t>
            </w:r>
          </w:p>
          <w:p w14:paraId="01104D20" w14:textId="77777777" w:rsidR="00902B84" w:rsidRPr="00A1262B" w:rsidRDefault="00902B84" w:rsidP="00B13429">
            <w:pPr>
              <w:pStyle w:val="ListParagraph"/>
              <w:numPr>
                <w:ilvl w:val="0"/>
                <w:numId w:val="52"/>
              </w:numPr>
              <w:suppressAutoHyphens w:val="0"/>
              <w:spacing w:before="120" w:after="120"/>
              <w:ind w:left="453" w:hanging="357"/>
              <w:contextualSpacing w:val="0"/>
              <w:textAlignment w:val="baseline"/>
              <w:rPr>
                <w:rFonts w:asciiTheme="minorHAnsi" w:hAnsiTheme="minorHAnsi"/>
                <w:color w:val="auto"/>
              </w:rPr>
            </w:pPr>
            <w:r w:rsidRPr="00A1262B">
              <w:rPr>
                <w:rFonts w:asciiTheme="minorHAnsi" w:hAnsiTheme="minorHAnsi"/>
                <w:color w:val="auto"/>
              </w:rPr>
              <w:t>The evidence base identifies proven approaches to diverting these cohorts from homelessness through</w:t>
            </w:r>
            <w:r w:rsidRPr="00A1262B">
              <w:rPr>
                <w:rFonts w:asciiTheme="minorHAnsi" w:eastAsia="Times New Roman" w:hAnsiTheme="minorHAnsi" w:cs="Segoe UI"/>
                <w:color w:val="auto"/>
                <w:lang w:val="en-GB" w:eastAsia="en-AU"/>
              </w:rPr>
              <w:t xml:space="preserve"> the provision of wraparound psychosocial supports, long-term case management, and collaborative in-reach models. For example: </w:t>
            </w:r>
            <w:r w:rsidRPr="00A1262B">
              <w:rPr>
                <w:rFonts w:asciiTheme="minorHAnsi" w:eastAsia="Times New Roman" w:hAnsiTheme="minorHAnsi" w:cs="Segoe UI"/>
                <w:color w:val="auto"/>
                <w:lang w:eastAsia="en-AU"/>
              </w:rPr>
              <w:t> </w:t>
            </w:r>
          </w:p>
          <w:p w14:paraId="696B6597" w14:textId="2F371035" w:rsidR="00902B84" w:rsidRPr="00A1262B" w:rsidRDefault="00902B84" w:rsidP="00B13429">
            <w:pPr>
              <w:pStyle w:val="ListParagraph"/>
              <w:numPr>
                <w:ilvl w:val="0"/>
                <w:numId w:val="53"/>
              </w:numPr>
              <w:suppressAutoHyphens w:val="0"/>
              <w:spacing w:before="120" w:after="120"/>
              <w:contextualSpacing w:val="0"/>
              <w:textAlignment w:val="baseline"/>
              <w:rPr>
                <w:rFonts w:asciiTheme="minorHAnsi" w:hAnsiTheme="minorHAnsi"/>
                <w:color w:val="auto"/>
              </w:rPr>
            </w:pPr>
            <w:r w:rsidRPr="00A1262B">
              <w:rPr>
                <w:rFonts w:asciiTheme="minorHAnsi" w:eastAsia="Times New Roman" w:hAnsiTheme="minorHAnsi" w:cs="Segoe UI"/>
                <w:color w:val="auto"/>
                <w:lang w:eastAsia="en-AU"/>
              </w:rPr>
              <w:t>A 2023 evaluation of the Reintegration Housing Support Program found that the provision of wraparound psychosocial supports was effective in achieving long-term public housing outcomes for people exiting prison at-risk of homelessness</w:t>
            </w:r>
            <w:r w:rsidRPr="00A1262B">
              <w:rPr>
                <w:color w:val="auto"/>
                <w:vertAlign w:val="superscript"/>
                <w:lang w:eastAsia="en-AU"/>
              </w:rPr>
              <w:endnoteReference w:id="17"/>
            </w:r>
            <w:r w:rsidRPr="00A1262B">
              <w:rPr>
                <w:rFonts w:asciiTheme="minorHAnsi" w:eastAsia="Times New Roman" w:hAnsiTheme="minorHAnsi" w:cs="Segoe UI"/>
                <w:color w:val="auto"/>
                <w:lang w:eastAsia="en-AU"/>
              </w:rPr>
              <w:t>. </w:t>
            </w:r>
          </w:p>
          <w:p w14:paraId="58254F10" w14:textId="77777777" w:rsidR="00902B84" w:rsidRPr="00902B84" w:rsidRDefault="00902B84" w:rsidP="00B13429">
            <w:pPr>
              <w:numPr>
                <w:ilvl w:val="0"/>
                <w:numId w:val="53"/>
              </w:numPr>
              <w:suppressAutoHyphens w:val="0"/>
              <w:spacing w:before="120" w:after="120"/>
              <w:textAlignment w:val="baseline"/>
              <w:rPr>
                <w:rFonts w:asciiTheme="minorHAnsi" w:eastAsia="Times New Roman" w:hAnsiTheme="minorHAnsi" w:cs="Segoe UI"/>
                <w:color w:val="auto"/>
                <w:lang w:eastAsia="en-AU"/>
              </w:rPr>
            </w:pPr>
            <w:r w:rsidRPr="006156FF">
              <w:rPr>
                <w:rFonts w:asciiTheme="minorHAnsi" w:eastAsia="Times New Roman" w:hAnsiTheme="minorHAnsi" w:cs="Segoe UI"/>
                <w:color w:val="auto"/>
                <w:lang w:val="en-GB" w:eastAsia="en-AU"/>
              </w:rPr>
              <w:t>There is also some evidence that offender re-entry programs offering case management to prisoners before and after their release from prison may improve protective factors for homelessness including greater residential stability, employment and social support and reductions in recidivism</w:t>
            </w:r>
            <w:r w:rsidRPr="006156FF">
              <w:rPr>
                <w:rFonts w:asciiTheme="minorHAnsi" w:eastAsia="Times New Roman" w:hAnsiTheme="minorHAnsi" w:cs="Segoe UI"/>
                <w:color w:val="auto"/>
                <w:vertAlign w:val="superscript"/>
                <w:lang w:val="en-GB" w:eastAsia="en-AU"/>
              </w:rPr>
              <w:endnoteReference w:id="18"/>
            </w:r>
            <w:r w:rsidRPr="006156FF">
              <w:rPr>
                <w:rFonts w:asciiTheme="minorHAnsi" w:eastAsia="Times New Roman" w:hAnsiTheme="minorHAnsi" w:cs="Segoe UI"/>
                <w:color w:val="auto"/>
                <w:lang w:val="en-GB" w:eastAsia="en-AU"/>
              </w:rPr>
              <w:t>.</w:t>
            </w:r>
          </w:p>
          <w:p w14:paraId="78D3A972" w14:textId="3D825840" w:rsidR="00902B84" w:rsidRPr="00902B84" w:rsidRDefault="00902B84" w:rsidP="00B13429">
            <w:pPr>
              <w:pStyle w:val="ListParagraph"/>
              <w:numPr>
                <w:ilvl w:val="0"/>
                <w:numId w:val="52"/>
              </w:numPr>
              <w:suppressAutoHyphens w:val="0"/>
              <w:spacing w:before="120" w:after="120"/>
              <w:ind w:left="453" w:hanging="357"/>
              <w:contextualSpacing w:val="0"/>
              <w:textAlignment w:val="baseline"/>
              <w:rPr>
                <w:rFonts w:asciiTheme="minorHAnsi" w:hAnsiTheme="minorHAnsi"/>
                <w:color w:val="auto"/>
              </w:rPr>
            </w:pPr>
            <w:r w:rsidRPr="00A1262B">
              <w:rPr>
                <w:rFonts w:asciiTheme="minorHAnsi" w:eastAsia="Times New Roman" w:hAnsiTheme="minorHAnsi" w:cs="Segoe UI"/>
                <w:color w:val="auto"/>
                <w:lang w:eastAsia="en-AU"/>
              </w:rPr>
              <w:t>Findings from a 2020 evaluation of Premier’s Youth Initiative (PYI) indicated that young people with a history of prior SHS who did not receive PYI services were 182 per cent more likely to become homeless after age 18 than young people who did not have a prior SHS history and did not receive PYI</w:t>
            </w:r>
            <w:r w:rsidRPr="006156FF">
              <w:rPr>
                <w:rFonts w:asciiTheme="minorHAnsi" w:eastAsia="Times New Roman" w:hAnsiTheme="minorHAnsi" w:cs="Segoe UI"/>
                <w:color w:val="auto"/>
                <w:vertAlign w:val="superscript"/>
                <w:lang w:eastAsia="en-AU"/>
              </w:rPr>
              <w:endnoteReference w:id="19"/>
            </w:r>
            <w:r w:rsidRPr="00A1262B">
              <w:rPr>
                <w:rFonts w:asciiTheme="minorHAnsi" w:eastAsia="Times New Roman" w:hAnsiTheme="minorHAnsi" w:cs="Segoe UI"/>
                <w:color w:val="auto"/>
                <w:lang w:eastAsia="en-AU"/>
              </w:rPr>
              <w:t xml:space="preserve">. Expansion of programs like PYI and </w:t>
            </w:r>
            <w:r w:rsidRPr="00A1262B">
              <w:rPr>
                <w:rFonts w:asciiTheme="minorHAnsi" w:eastAsia="Times New Roman" w:hAnsiTheme="minorHAnsi" w:cs="Segoe UI"/>
                <w:color w:val="auto"/>
                <w:lang w:eastAsia="en-AU"/>
              </w:rPr>
              <w:lastRenderedPageBreak/>
              <w:t>integration with other youth services can play a significant role in the diversion of young people exiting care from the homelessness system. </w:t>
            </w:r>
          </w:p>
        </w:tc>
      </w:tr>
      <w:tr w:rsidR="0003360A" w:rsidRPr="006156FF" w14:paraId="2B7BE264" w14:textId="77777777" w:rsidTr="00442753">
        <w:trPr>
          <w:trHeight w:val="2115"/>
        </w:trPr>
        <w:tc>
          <w:tcPr>
            <w:tcW w:w="1778" w:type="dxa"/>
            <w:tcBorders>
              <w:top w:val="single" w:sz="4" w:space="0" w:color="auto"/>
              <w:left w:val="single" w:sz="4" w:space="0" w:color="auto"/>
              <w:right w:val="single" w:sz="4" w:space="0" w:color="auto"/>
            </w:tcBorders>
            <w:shd w:val="clear" w:color="auto" w:fill="FFFFFF" w:themeFill="background1"/>
            <w:hideMark/>
          </w:tcPr>
          <w:p w14:paraId="5B55F1CD" w14:textId="2E5942EE" w:rsidR="0003360A" w:rsidRPr="00442753" w:rsidRDefault="006D0573" w:rsidP="00A1262B">
            <w:pPr>
              <w:suppressAutoHyphens w:val="0"/>
              <w:spacing w:before="120" w:after="120"/>
              <w:textAlignment w:val="baseline"/>
              <w:rPr>
                <w:rFonts w:asciiTheme="minorHAnsi" w:eastAsia="Times New Roman" w:hAnsiTheme="minorHAnsi" w:cs="Segoe UI"/>
                <w:b/>
                <w:bCs/>
                <w:color w:val="auto"/>
                <w:lang w:eastAsia="en-AU"/>
              </w:rPr>
            </w:pPr>
            <w:r>
              <w:rPr>
                <w:rFonts w:asciiTheme="minorHAnsi" w:eastAsia="Times New Roman" w:hAnsiTheme="minorHAnsi" w:cs="Segoe UI"/>
                <w:b/>
                <w:bCs/>
                <w:color w:val="auto"/>
                <w:lang w:eastAsia="en-AU"/>
              </w:rPr>
              <w:lastRenderedPageBreak/>
              <w:t xml:space="preserve">1.3 </w:t>
            </w:r>
            <w:r w:rsidR="0003360A" w:rsidRPr="00442753">
              <w:rPr>
                <w:rFonts w:asciiTheme="minorHAnsi" w:eastAsia="Times New Roman" w:hAnsiTheme="minorHAnsi" w:cs="Segoe UI"/>
                <w:b/>
                <w:bCs/>
                <w:color w:val="auto"/>
                <w:lang w:eastAsia="en-AU"/>
              </w:rPr>
              <w:t xml:space="preserve">People know where to get information and support </w:t>
            </w:r>
            <w:r w:rsidR="004172AC" w:rsidRPr="00442753">
              <w:rPr>
                <w:rFonts w:asciiTheme="minorHAnsi" w:eastAsia="Times New Roman" w:hAnsiTheme="minorHAnsi" w:cs="Segoe UI"/>
                <w:b/>
                <w:bCs/>
                <w:color w:val="auto"/>
                <w:lang w:eastAsia="en-AU"/>
              </w:rPr>
              <w:t>to prevent homelessness</w:t>
            </w:r>
          </w:p>
        </w:tc>
        <w:tc>
          <w:tcPr>
            <w:tcW w:w="8420" w:type="dxa"/>
            <w:tcBorders>
              <w:top w:val="single" w:sz="4" w:space="0" w:color="auto"/>
              <w:left w:val="single" w:sz="4" w:space="0" w:color="auto"/>
              <w:bottom w:val="single" w:sz="4" w:space="0" w:color="auto"/>
              <w:right w:val="single" w:sz="4" w:space="0" w:color="auto"/>
            </w:tcBorders>
            <w:shd w:val="clear" w:color="auto" w:fill="auto"/>
            <w:hideMark/>
          </w:tcPr>
          <w:p w14:paraId="0B2A20E4" w14:textId="4C608083" w:rsidR="0003360A" w:rsidRPr="00A1262B" w:rsidRDefault="0003360A" w:rsidP="00B13429">
            <w:pPr>
              <w:pStyle w:val="ListParagraph"/>
              <w:numPr>
                <w:ilvl w:val="0"/>
                <w:numId w:val="55"/>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sidRPr="00A1262B">
              <w:rPr>
                <w:rFonts w:asciiTheme="minorHAnsi" w:eastAsia="Times New Roman" w:hAnsiTheme="minorHAnsi" w:cs="Segoe UI"/>
                <w:color w:val="auto"/>
                <w:lang w:eastAsia="en-AU"/>
              </w:rPr>
              <w:t>Improved information about and access to appropriate support, at the right time, is critical for effective prevention of homelessness. There remains significant stigma about experiences of housing instability and many people are often hesitant to reach out for support. Community-based linker programs, such as the US-based Homebase, have been evaluated and shown to be effective at preventing homelessness from occurring</w:t>
            </w:r>
            <w:r w:rsidR="00106698" w:rsidRPr="00A1262B">
              <w:rPr>
                <w:color w:val="auto"/>
                <w:vertAlign w:val="superscript"/>
                <w:lang w:eastAsia="en-AU"/>
              </w:rPr>
              <w:endnoteReference w:id="20"/>
            </w:r>
            <w:r w:rsidR="00106698" w:rsidRPr="00A1262B">
              <w:rPr>
                <w:rFonts w:asciiTheme="minorHAnsi" w:eastAsia="Times New Roman" w:hAnsiTheme="minorHAnsi" w:cs="Segoe UI"/>
                <w:color w:val="auto"/>
                <w:lang w:eastAsia="en-AU"/>
              </w:rPr>
              <w:t> </w:t>
            </w:r>
            <w:r w:rsidRPr="00A1262B">
              <w:rPr>
                <w:rFonts w:asciiTheme="minorHAnsi" w:eastAsia="Times New Roman" w:hAnsiTheme="minorHAnsi" w:cs="Segoe UI"/>
                <w:color w:val="auto"/>
                <w:lang w:eastAsia="en-AU"/>
              </w:rPr>
              <w:t>. </w:t>
            </w:r>
          </w:p>
          <w:p w14:paraId="6A3C6F04" w14:textId="2D2EFA15" w:rsidR="0003360A" w:rsidRPr="00A1262B" w:rsidRDefault="0003360A" w:rsidP="00B13429">
            <w:pPr>
              <w:pStyle w:val="ListParagraph"/>
              <w:numPr>
                <w:ilvl w:val="0"/>
                <w:numId w:val="55"/>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sidRPr="00A1262B">
              <w:rPr>
                <w:rFonts w:asciiTheme="minorHAnsi" w:eastAsia="Times New Roman" w:hAnsiTheme="minorHAnsi" w:cs="Segoe UI"/>
                <w:color w:val="auto"/>
                <w:lang w:eastAsia="en-AU"/>
              </w:rPr>
              <w:t xml:space="preserve">Further, prevention initiatives must consider the social and cultural factors that affect people’s ability to access and understand </w:t>
            </w:r>
            <w:bookmarkStart w:id="4" w:name="_Int_yI6Tr5Df"/>
            <w:r w:rsidRPr="00A1262B">
              <w:rPr>
                <w:rFonts w:asciiTheme="minorHAnsi" w:eastAsia="Times New Roman" w:hAnsiTheme="minorHAnsi" w:cs="Segoe UI"/>
                <w:color w:val="auto"/>
                <w:lang w:eastAsia="en-AU"/>
              </w:rPr>
              <w:t>important information</w:t>
            </w:r>
            <w:bookmarkEnd w:id="4"/>
            <w:r w:rsidRPr="00A1262B">
              <w:rPr>
                <w:rFonts w:asciiTheme="minorHAnsi" w:eastAsia="Times New Roman" w:hAnsiTheme="minorHAnsi" w:cs="Segoe UI"/>
                <w:color w:val="auto"/>
                <w:lang w:eastAsia="en-AU"/>
              </w:rPr>
              <w:t xml:space="preserve"> to address the drivers of homelessness. Cultural competency training is a key area for improvement for workforce to achieve greater cultural appropriateness and safety</w:t>
            </w:r>
            <w:r w:rsidR="00106698" w:rsidRPr="00A1262B">
              <w:rPr>
                <w:color w:val="auto"/>
                <w:vertAlign w:val="superscript"/>
                <w:lang w:eastAsia="en-AU"/>
              </w:rPr>
              <w:endnoteReference w:id="21"/>
            </w:r>
            <w:r w:rsidRPr="00A1262B">
              <w:rPr>
                <w:rFonts w:asciiTheme="minorHAnsi" w:eastAsia="Times New Roman" w:hAnsiTheme="minorHAnsi" w:cs="Segoe UI"/>
                <w:color w:val="auto"/>
                <w:lang w:eastAsia="en-AU"/>
              </w:rPr>
              <w:t>.</w:t>
            </w:r>
          </w:p>
        </w:tc>
      </w:tr>
    </w:tbl>
    <w:p w14:paraId="020AB8A3" w14:textId="77777777" w:rsidR="00764920" w:rsidRPr="006156FF" w:rsidRDefault="00764920" w:rsidP="00764920">
      <w:pPr>
        <w:pStyle w:val="paragraph"/>
        <w:spacing w:before="0" w:beforeAutospacing="0" w:after="0" w:afterAutospacing="0"/>
        <w:textAlignment w:val="baseline"/>
        <w:rPr>
          <w:rFonts w:asciiTheme="minorHAnsi" w:hAnsiTheme="minorHAnsi" w:cs="Segoe UI"/>
          <w:sz w:val="18"/>
          <w:szCs w:val="18"/>
        </w:rPr>
      </w:pPr>
    </w:p>
    <w:p w14:paraId="5FE15428" w14:textId="3F462278" w:rsidR="00151F0E" w:rsidRPr="004A257E" w:rsidRDefault="00151F0E" w:rsidP="004A257E">
      <w:pPr>
        <w:pStyle w:val="Heading1"/>
        <w:rPr>
          <w:rStyle w:val="Heading1Char"/>
        </w:rPr>
      </w:pPr>
      <w:bookmarkStart w:id="5" w:name="_Toc171943323"/>
      <w:r w:rsidRPr="004A257E">
        <w:rPr>
          <w:rStyle w:val="Heading1Char"/>
        </w:rPr>
        <w:t>Homelessness is brief</w:t>
      </w:r>
    </w:p>
    <w:p w14:paraId="29779870" w14:textId="09E6373A" w:rsidR="00594603" w:rsidRPr="004A257E" w:rsidRDefault="00594603" w:rsidP="004A257E">
      <w:pPr>
        <w:pStyle w:val="Heading2"/>
        <w:rPr>
          <w:rStyle w:val="Heading1Char"/>
          <w:sz w:val="28"/>
        </w:rPr>
      </w:pPr>
      <w:r w:rsidRPr="004A257E">
        <w:rPr>
          <w:rStyle w:val="Heading1Char"/>
          <w:sz w:val="28"/>
        </w:rPr>
        <w:t>Outcome 2 - When homelessness does occur, people are quickly connected to housing and the supports they need </w:t>
      </w:r>
      <w:bookmarkEnd w:id="5"/>
    </w:p>
    <w:p w14:paraId="1E3AE97B" w14:textId="77777777" w:rsidR="00764920" w:rsidRPr="006156FF" w:rsidRDefault="00764920" w:rsidP="00764920">
      <w:pPr>
        <w:pStyle w:val="paragraph"/>
        <w:spacing w:before="0" w:beforeAutospacing="0" w:after="0" w:afterAutospacing="0"/>
        <w:textAlignment w:val="baseline"/>
        <w:rPr>
          <w:rStyle w:val="eop"/>
          <w:rFonts w:asciiTheme="minorHAnsi" w:hAnsiTheme="minorHAnsi" w:cs="Segoe UI"/>
          <w:sz w:val="22"/>
          <w:szCs w:val="22"/>
        </w:rPr>
      </w:pPr>
      <w:r w:rsidRPr="006156FF">
        <w:rPr>
          <w:rStyle w:val="normaltextrun"/>
          <w:rFonts w:asciiTheme="minorHAnsi" w:eastAsiaTheme="majorEastAsia" w:hAnsiTheme="minorHAnsi" w:cs="Segoe UI"/>
          <w:sz w:val="22"/>
          <w:szCs w:val="22"/>
        </w:rPr>
        <w:t>The table below summarises the rationale and evidence for the strategic objectives aimed at making homelessness brief. </w:t>
      </w:r>
      <w:r w:rsidRPr="006156FF">
        <w:rPr>
          <w:rStyle w:val="eop"/>
          <w:rFonts w:asciiTheme="minorHAnsi" w:hAnsiTheme="minorHAnsi" w:cs="Segoe UI"/>
          <w:sz w:val="22"/>
          <w:szCs w:val="22"/>
        </w:rPr>
        <w:t> </w:t>
      </w:r>
    </w:p>
    <w:p w14:paraId="3B3AEF1E" w14:textId="77777777" w:rsidR="00764920" w:rsidRPr="006156FF" w:rsidRDefault="00764920" w:rsidP="00764920">
      <w:pPr>
        <w:pStyle w:val="paragraph"/>
        <w:spacing w:before="0" w:beforeAutospacing="0" w:after="0" w:afterAutospacing="0"/>
        <w:textAlignment w:val="baseline"/>
        <w:rPr>
          <w:rFonts w:asciiTheme="minorHAnsi" w:hAnsiTheme="minorHAnsi" w:cs="Segoe UI"/>
          <w:sz w:val="18"/>
          <w:szCs w:val="18"/>
        </w:rPr>
      </w:pPr>
    </w:p>
    <w:tbl>
      <w:tblPr>
        <w:tblW w:w="1005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90"/>
        <w:gridCol w:w="8167"/>
      </w:tblGrid>
      <w:tr w:rsidR="00764920" w:rsidRPr="006156FF" w14:paraId="595CC018" w14:textId="77777777" w:rsidTr="004E35A1">
        <w:trPr>
          <w:trHeight w:val="315"/>
          <w:tblHeader/>
        </w:trPr>
        <w:tc>
          <w:tcPr>
            <w:tcW w:w="1890" w:type="dxa"/>
            <w:tcBorders>
              <w:top w:val="single" w:sz="6" w:space="0" w:color="630019" w:themeColor="accent1"/>
              <w:left w:val="single" w:sz="6" w:space="0" w:color="630019" w:themeColor="accent1"/>
              <w:bottom w:val="single" w:sz="4" w:space="0" w:color="auto"/>
              <w:right w:val="nil"/>
            </w:tcBorders>
            <w:shd w:val="clear" w:color="auto" w:fill="FFE6EA" w:themeFill="accent4"/>
            <w:hideMark/>
          </w:tcPr>
          <w:p w14:paraId="551BE49B" w14:textId="77777777" w:rsidR="00764920" w:rsidRPr="006156FF" w:rsidRDefault="00764920" w:rsidP="004E35A1">
            <w:pPr>
              <w:suppressAutoHyphens w:val="0"/>
              <w:spacing w:before="120" w:after="120"/>
              <w:textAlignment w:val="baseline"/>
              <w:rPr>
                <w:rFonts w:asciiTheme="minorHAnsi" w:eastAsia="Times New Roman" w:hAnsiTheme="minorHAnsi" w:cs="Segoe UI"/>
                <w:b/>
                <w:bCs/>
                <w:color w:val="auto"/>
                <w:lang w:eastAsia="en-AU"/>
              </w:rPr>
            </w:pPr>
            <w:r w:rsidRPr="006156FF">
              <w:rPr>
                <w:rFonts w:asciiTheme="minorHAnsi" w:eastAsia="Times New Roman" w:hAnsiTheme="minorHAnsi" w:cs="Segoe UI"/>
                <w:b/>
                <w:bCs/>
                <w:color w:val="auto"/>
                <w:lang w:eastAsia="en-AU"/>
              </w:rPr>
              <w:t>Objective </w:t>
            </w:r>
          </w:p>
        </w:tc>
        <w:tc>
          <w:tcPr>
            <w:tcW w:w="8167" w:type="dxa"/>
            <w:tcBorders>
              <w:top w:val="single" w:sz="6" w:space="0" w:color="630019" w:themeColor="accent1"/>
              <w:left w:val="nil"/>
              <w:bottom w:val="nil"/>
              <w:right w:val="single" w:sz="6" w:space="0" w:color="630019" w:themeColor="accent1"/>
            </w:tcBorders>
            <w:shd w:val="clear" w:color="auto" w:fill="FFE6EA" w:themeFill="accent4"/>
            <w:hideMark/>
          </w:tcPr>
          <w:p w14:paraId="2A1DEEBE" w14:textId="77777777" w:rsidR="00764920" w:rsidRPr="006156FF" w:rsidRDefault="00764920" w:rsidP="004E35A1">
            <w:pPr>
              <w:suppressAutoHyphens w:val="0"/>
              <w:spacing w:before="120" w:after="120"/>
              <w:textAlignment w:val="baseline"/>
              <w:rPr>
                <w:rFonts w:asciiTheme="minorHAnsi" w:eastAsia="Times New Roman" w:hAnsiTheme="minorHAnsi" w:cs="Segoe UI"/>
                <w:b/>
                <w:bCs/>
                <w:color w:val="auto"/>
                <w:lang w:eastAsia="en-AU"/>
              </w:rPr>
            </w:pPr>
            <w:r w:rsidRPr="006156FF">
              <w:rPr>
                <w:rFonts w:asciiTheme="minorHAnsi" w:eastAsia="Times New Roman" w:hAnsiTheme="minorHAnsi" w:cs="Segoe UI"/>
                <w:b/>
                <w:bCs/>
                <w:color w:val="auto"/>
                <w:lang w:eastAsia="en-AU"/>
              </w:rPr>
              <w:t>Rationale </w:t>
            </w:r>
          </w:p>
        </w:tc>
      </w:tr>
      <w:tr w:rsidR="00764920" w:rsidRPr="006156FF" w14:paraId="2482C7F4" w14:textId="77777777" w:rsidTr="004E35A1">
        <w:trPr>
          <w:trHeight w:val="496"/>
        </w:trPr>
        <w:tc>
          <w:tcPr>
            <w:tcW w:w="18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7AE0630" w14:textId="090AB680" w:rsidR="00764920" w:rsidRPr="006156FF" w:rsidRDefault="00583BDE" w:rsidP="00AC61A7">
            <w:pPr>
              <w:suppressAutoHyphens w:val="0"/>
              <w:spacing w:before="120" w:after="120"/>
              <w:textAlignment w:val="baseline"/>
              <w:rPr>
                <w:rFonts w:asciiTheme="minorHAnsi" w:eastAsia="Times New Roman" w:hAnsiTheme="minorHAnsi" w:cs="Segoe UI"/>
                <w:b/>
                <w:bCs/>
                <w:color w:val="auto"/>
                <w:lang w:eastAsia="en-AU"/>
              </w:rPr>
            </w:pPr>
            <w:r>
              <w:rPr>
                <w:rFonts w:asciiTheme="minorHAnsi" w:eastAsia="Times New Roman" w:hAnsiTheme="minorHAnsi" w:cs="Segoe UI"/>
                <w:b/>
                <w:bCs/>
                <w:color w:val="auto"/>
                <w:lang w:eastAsia="en-AU"/>
              </w:rPr>
              <w:t xml:space="preserve">2.1 </w:t>
            </w:r>
            <w:r w:rsidR="00FE316F" w:rsidRPr="006156FF">
              <w:rPr>
                <w:rFonts w:asciiTheme="minorHAnsi" w:eastAsia="Times New Roman" w:hAnsiTheme="minorHAnsi" w:cs="Segoe UI"/>
                <w:b/>
                <w:bCs/>
                <w:color w:val="auto"/>
                <w:lang w:eastAsia="en-AU"/>
              </w:rPr>
              <w:t>People</w:t>
            </w:r>
            <w:r w:rsidR="002808F8" w:rsidRPr="006156FF">
              <w:rPr>
                <w:rFonts w:asciiTheme="minorHAnsi" w:eastAsia="Times New Roman" w:hAnsiTheme="minorHAnsi" w:cs="Segoe UI"/>
                <w:b/>
                <w:bCs/>
                <w:color w:val="auto"/>
                <w:lang w:eastAsia="en-AU"/>
              </w:rPr>
              <w:t xml:space="preserve">’s needs are </w:t>
            </w:r>
            <w:r>
              <w:rPr>
                <w:rFonts w:asciiTheme="minorHAnsi" w:eastAsia="Times New Roman" w:hAnsiTheme="minorHAnsi" w:cs="Segoe UI"/>
                <w:b/>
                <w:bCs/>
                <w:color w:val="auto"/>
                <w:lang w:eastAsia="en-AU"/>
              </w:rPr>
              <w:t xml:space="preserve">quickly </w:t>
            </w:r>
            <w:r w:rsidR="002808F8" w:rsidRPr="006156FF">
              <w:rPr>
                <w:rFonts w:asciiTheme="minorHAnsi" w:eastAsia="Times New Roman" w:hAnsiTheme="minorHAnsi" w:cs="Segoe UI"/>
                <w:b/>
                <w:bCs/>
                <w:color w:val="auto"/>
                <w:lang w:eastAsia="en-AU"/>
              </w:rPr>
              <w:t xml:space="preserve">identified and they are </w:t>
            </w:r>
            <w:r w:rsidR="00813BD9">
              <w:rPr>
                <w:rFonts w:asciiTheme="minorHAnsi" w:eastAsia="Times New Roman" w:hAnsiTheme="minorHAnsi" w:cs="Segoe UI"/>
                <w:b/>
                <w:bCs/>
                <w:color w:val="auto"/>
                <w:lang w:eastAsia="en-AU"/>
              </w:rPr>
              <w:t>referred</w:t>
            </w:r>
            <w:r w:rsidR="00813BD9" w:rsidRPr="006156FF">
              <w:rPr>
                <w:rFonts w:asciiTheme="minorHAnsi" w:eastAsia="Times New Roman" w:hAnsiTheme="minorHAnsi" w:cs="Segoe UI"/>
                <w:b/>
                <w:bCs/>
                <w:color w:val="auto"/>
                <w:lang w:eastAsia="en-AU"/>
              </w:rPr>
              <w:t xml:space="preserve"> </w:t>
            </w:r>
            <w:r w:rsidR="002808F8" w:rsidRPr="006156FF">
              <w:rPr>
                <w:rFonts w:asciiTheme="minorHAnsi" w:eastAsia="Times New Roman" w:hAnsiTheme="minorHAnsi" w:cs="Segoe UI"/>
                <w:b/>
                <w:bCs/>
                <w:color w:val="auto"/>
                <w:lang w:eastAsia="en-AU"/>
              </w:rPr>
              <w:t>to the right support</w:t>
            </w:r>
            <w:r w:rsidR="00764920" w:rsidRPr="006156FF">
              <w:rPr>
                <w:rFonts w:asciiTheme="minorHAnsi" w:eastAsia="Times New Roman" w:hAnsiTheme="minorHAnsi" w:cs="Segoe UI"/>
                <w:b/>
                <w:bCs/>
                <w:color w:val="auto"/>
                <w:lang w:eastAsia="en-AU"/>
              </w:rPr>
              <w:t> </w:t>
            </w:r>
          </w:p>
        </w:tc>
        <w:tc>
          <w:tcPr>
            <w:tcW w:w="8167" w:type="dxa"/>
            <w:tcBorders>
              <w:top w:val="single" w:sz="4" w:space="0" w:color="auto"/>
              <w:left w:val="single" w:sz="4" w:space="0" w:color="auto"/>
              <w:bottom w:val="single" w:sz="4" w:space="0" w:color="auto"/>
              <w:right w:val="single" w:sz="4" w:space="0" w:color="auto"/>
            </w:tcBorders>
            <w:shd w:val="clear" w:color="auto" w:fill="auto"/>
            <w:hideMark/>
          </w:tcPr>
          <w:p w14:paraId="0DE62080" w14:textId="4873DCFE" w:rsidR="00764920" w:rsidRPr="00AC61A7" w:rsidRDefault="00764920" w:rsidP="00B13429">
            <w:pPr>
              <w:pStyle w:val="ListParagraph"/>
              <w:numPr>
                <w:ilvl w:val="0"/>
                <w:numId w:val="56"/>
              </w:numPr>
              <w:suppressAutoHyphens w:val="0"/>
              <w:spacing w:before="120" w:after="120"/>
              <w:ind w:left="453" w:hanging="357"/>
              <w:textAlignment w:val="baseline"/>
              <w:rPr>
                <w:rFonts w:asciiTheme="minorHAnsi" w:eastAsia="Times New Roman" w:hAnsiTheme="minorHAnsi" w:cs="Segoe UI"/>
                <w:color w:val="auto"/>
                <w:lang w:eastAsia="en-AU"/>
              </w:rPr>
            </w:pPr>
            <w:r w:rsidRPr="00AC61A7">
              <w:rPr>
                <w:rFonts w:asciiTheme="minorHAnsi" w:eastAsia="Times New Roman" w:hAnsiTheme="minorHAnsi" w:cs="Segoe UI"/>
                <w:color w:val="auto"/>
                <w:lang w:eastAsia="en-AU"/>
              </w:rPr>
              <w:t>Streamlined access to services and supports is important to minimise the time that people experience homelessness. By funding multidisciplinary triage and support teams and local coordination groups, people can access the help they need to navigate a complex service system. Triage tools are designed to quickly assess the health and social service needs of rough sleepers and match them with appropriate support and housing interventions</w:t>
            </w:r>
            <w:r w:rsidRPr="00977E26">
              <w:rPr>
                <w:color w:val="22272B" w:themeColor="text1"/>
                <w:vertAlign w:val="superscript"/>
              </w:rPr>
              <w:endnoteReference w:id="22"/>
            </w:r>
            <w:r w:rsidR="00106698" w:rsidRPr="00AC61A7">
              <w:rPr>
                <w:rFonts w:asciiTheme="minorHAnsi" w:eastAsia="Times New Roman" w:hAnsiTheme="minorHAnsi" w:cs="Segoe UI"/>
                <w:color w:val="22272B" w:themeColor="text1"/>
                <w:lang w:eastAsia="en-AU"/>
              </w:rPr>
              <w:t>.</w:t>
            </w:r>
          </w:p>
          <w:p w14:paraId="759C5D8B" w14:textId="590E0532" w:rsidR="00272224" w:rsidRPr="00442753" w:rsidRDefault="00272224" w:rsidP="00AD178E">
            <w:pPr>
              <w:pStyle w:val="BodyText"/>
              <w:rPr>
                <w:rFonts w:eastAsia="Times New Roman" w:cs="Segoe UI"/>
                <w:b/>
                <w:bCs/>
                <w:color w:val="auto"/>
                <w:sz w:val="20"/>
                <w:szCs w:val="20"/>
                <w:lang w:eastAsia="en-AU"/>
              </w:rPr>
            </w:pPr>
            <w:r w:rsidRPr="00442753">
              <w:rPr>
                <w:rFonts w:eastAsia="Times New Roman" w:cs="Segoe UI"/>
                <w:b/>
                <w:bCs/>
                <w:color w:val="auto"/>
                <w:sz w:val="20"/>
                <w:szCs w:val="20"/>
                <w:lang w:eastAsia="en-AU"/>
              </w:rPr>
              <w:t>By Name List:</w:t>
            </w:r>
          </w:p>
          <w:p w14:paraId="1BFCED60" w14:textId="37290DB2" w:rsidR="00AD178E" w:rsidRPr="006156FF" w:rsidRDefault="0051312D" w:rsidP="00B13429">
            <w:pPr>
              <w:pStyle w:val="ListParagraph"/>
              <w:numPr>
                <w:ilvl w:val="0"/>
                <w:numId w:val="47"/>
              </w:numPr>
              <w:suppressAutoHyphens w:val="0"/>
              <w:spacing w:before="120" w:after="120" w:line="256" w:lineRule="auto"/>
              <w:ind w:left="453" w:hanging="357"/>
              <w:contextualSpacing w:val="0"/>
              <w:rPr>
                <w:rFonts w:asciiTheme="minorHAnsi" w:eastAsia="Times New Roman" w:hAnsiTheme="minorHAnsi" w:cs="Segoe UI"/>
                <w:color w:val="auto"/>
                <w:lang w:eastAsia="en-AU"/>
              </w:rPr>
            </w:pPr>
            <w:r w:rsidRPr="006156FF">
              <w:rPr>
                <w:rFonts w:asciiTheme="minorHAnsi" w:eastAsia="Times New Roman" w:hAnsiTheme="minorHAnsi" w:cs="Segoe UI"/>
                <w:color w:val="auto"/>
                <w:lang w:eastAsia="en-AU"/>
              </w:rPr>
              <w:t xml:space="preserve">A </w:t>
            </w:r>
            <w:r w:rsidR="00272224" w:rsidRPr="006156FF">
              <w:rPr>
                <w:rFonts w:asciiTheme="minorHAnsi" w:eastAsia="Times New Roman" w:hAnsiTheme="minorHAnsi" w:cs="Segoe UI"/>
                <w:color w:val="auto"/>
                <w:lang w:eastAsia="en-AU"/>
              </w:rPr>
              <w:t>By Name List (</w:t>
            </w:r>
            <w:r w:rsidRPr="006156FF">
              <w:rPr>
                <w:rFonts w:asciiTheme="minorHAnsi" w:eastAsia="Times New Roman" w:hAnsiTheme="minorHAnsi" w:cs="Segoe UI"/>
                <w:color w:val="auto"/>
                <w:lang w:eastAsia="en-AU"/>
              </w:rPr>
              <w:t>BNL</w:t>
            </w:r>
            <w:r w:rsidR="00272224" w:rsidRPr="006156FF">
              <w:rPr>
                <w:rFonts w:asciiTheme="minorHAnsi" w:eastAsia="Times New Roman" w:hAnsiTheme="minorHAnsi" w:cs="Segoe UI"/>
                <w:color w:val="auto"/>
                <w:lang w:eastAsia="en-AU"/>
              </w:rPr>
              <w:t>)</w:t>
            </w:r>
            <w:r w:rsidRPr="006156FF">
              <w:rPr>
                <w:rFonts w:asciiTheme="minorHAnsi" w:eastAsia="Times New Roman" w:hAnsiTheme="minorHAnsi" w:cs="Segoe UI"/>
                <w:color w:val="auto"/>
                <w:lang w:eastAsia="en-AU"/>
              </w:rPr>
              <w:t xml:space="preserve"> is a comprehensive list of every person in a community experiencing homelessness, updated in real time. Using information collected and shared with their consent, each person on the list has a file that includes their name, homeless history, health, and housing needs. By maintaining a BNL, communities can track the ever-changing size and composition of their homeless population. They know current and detailed information on every homeless person in each subpopulation</w:t>
            </w:r>
            <w:r w:rsidR="00902B84" w:rsidRPr="00977E26">
              <w:rPr>
                <w:rFonts w:asciiTheme="minorHAnsi" w:eastAsia="Times New Roman" w:hAnsiTheme="minorHAnsi" w:cs="Segoe UI"/>
                <w:color w:val="auto"/>
                <w:vertAlign w:val="superscript"/>
                <w:lang w:eastAsia="en-AU"/>
              </w:rPr>
              <w:endnoteReference w:id="23"/>
            </w:r>
            <w:r w:rsidRPr="006156FF">
              <w:rPr>
                <w:rFonts w:asciiTheme="minorHAnsi" w:eastAsia="Times New Roman" w:hAnsiTheme="minorHAnsi" w:cs="Segoe UI"/>
                <w:color w:val="auto"/>
                <w:lang w:eastAsia="en-AU"/>
              </w:rPr>
              <w:t>.</w:t>
            </w:r>
          </w:p>
          <w:p w14:paraId="13F9630E" w14:textId="4849EB92" w:rsidR="00AC61A7" w:rsidRPr="00A63969" w:rsidRDefault="00A63969" w:rsidP="003415DD">
            <w:pPr>
              <w:pStyle w:val="ListParagraph"/>
              <w:numPr>
                <w:ilvl w:val="0"/>
                <w:numId w:val="48"/>
              </w:numPr>
              <w:suppressAutoHyphens w:val="0"/>
              <w:spacing w:before="120" w:after="120" w:line="256" w:lineRule="auto"/>
              <w:ind w:left="453" w:hanging="357"/>
              <w:contextualSpacing w:val="0"/>
              <w:rPr>
                <w:rFonts w:asciiTheme="minorHAnsi" w:eastAsia="Times New Roman" w:hAnsiTheme="minorHAnsi" w:cs="Segoe UI"/>
                <w:color w:val="auto"/>
                <w:lang w:eastAsia="en-AU"/>
              </w:rPr>
            </w:pPr>
            <w:r>
              <w:rPr>
                <w:rFonts w:asciiTheme="minorHAnsi" w:eastAsia="Times New Roman" w:hAnsiTheme="minorHAnsi" w:cs="Segoe UI"/>
                <w:color w:val="auto"/>
                <w:lang w:eastAsia="en-AU"/>
              </w:rPr>
              <w:t>A</w:t>
            </w:r>
            <w:r w:rsidR="00AD178E" w:rsidRPr="00A63969">
              <w:rPr>
                <w:rFonts w:asciiTheme="minorHAnsi" w:eastAsia="Times New Roman" w:hAnsiTheme="minorHAnsi" w:cs="Segoe UI"/>
                <w:color w:val="auto"/>
                <w:lang w:eastAsia="en-AU"/>
              </w:rPr>
              <w:t xml:space="preserve"> BNL or equivalent is a</w:t>
            </w:r>
            <w:r w:rsidRPr="00A63969">
              <w:rPr>
                <w:rFonts w:asciiTheme="minorHAnsi" w:eastAsia="Times New Roman" w:hAnsiTheme="minorHAnsi" w:cs="Segoe UI"/>
                <w:color w:val="auto"/>
                <w:lang w:eastAsia="en-AU"/>
              </w:rPr>
              <w:t xml:space="preserve"> </w:t>
            </w:r>
            <w:r w:rsidR="00AD178E" w:rsidRPr="00A63969">
              <w:rPr>
                <w:rFonts w:asciiTheme="minorHAnsi" w:eastAsia="Times New Roman" w:hAnsiTheme="minorHAnsi" w:cs="Segoe UI"/>
                <w:color w:val="auto"/>
                <w:lang w:eastAsia="en-AU"/>
              </w:rPr>
              <w:t xml:space="preserve">coordination tool that facilitates a localised approach to end homelessness. </w:t>
            </w:r>
            <w:r>
              <w:rPr>
                <w:rFonts w:asciiTheme="minorHAnsi" w:eastAsia="Times New Roman" w:hAnsiTheme="minorHAnsi" w:cs="Segoe UI"/>
                <w:color w:val="auto"/>
                <w:lang w:eastAsia="en-AU"/>
              </w:rPr>
              <w:t>It can</w:t>
            </w:r>
            <w:r w:rsidR="00AD178E" w:rsidRPr="00A63969">
              <w:rPr>
                <w:rFonts w:asciiTheme="minorHAnsi" w:eastAsia="Times New Roman" w:hAnsiTheme="minorHAnsi" w:cs="Segoe UI"/>
                <w:color w:val="auto"/>
                <w:lang w:eastAsia="en-AU"/>
              </w:rPr>
              <w:t xml:space="preserve"> provide a near to real-time database system… to improve understanding of homelessness, and the way in which people may come to experience homelessness. It tracks people’s movement in and out of homelessness which collectively informs understanding of the pathways into and out of homelessness. With this understanding responses can be better developed to address these pathways and work towards ending homelessness</w:t>
            </w:r>
            <w:r w:rsidR="00902B84" w:rsidRPr="00977E26">
              <w:rPr>
                <w:rFonts w:asciiTheme="minorHAnsi" w:eastAsia="Times New Roman" w:hAnsiTheme="minorHAnsi" w:cs="Segoe UI"/>
                <w:color w:val="auto"/>
                <w:vertAlign w:val="superscript"/>
                <w:lang w:eastAsia="en-AU"/>
              </w:rPr>
              <w:endnoteReference w:id="24"/>
            </w:r>
            <w:r w:rsidR="00902B84" w:rsidRPr="00A63969">
              <w:rPr>
                <w:rFonts w:asciiTheme="minorHAnsi" w:eastAsia="Times New Roman" w:hAnsiTheme="minorHAnsi" w:cs="Segoe UI"/>
                <w:color w:val="auto"/>
                <w:lang w:eastAsia="en-AU"/>
              </w:rPr>
              <w:t>.</w:t>
            </w:r>
            <w:r w:rsidR="00AD178E" w:rsidRPr="00A63969">
              <w:rPr>
                <w:rFonts w:asciiTheme="minorHAnsi" w:eastAsia="Times New Roman" w:hAnsiTheme="minorHAnsi" w:cs="Segoe UI"/>
                <w:color w:val="auto"/>
                <w:vertAlign w:val="superscript"/>
                <w:lang w:eastAsia="en-AU"/>
              </w:rPr>
              <w:t>.</w:t>
            </w:r>
            <w:r w:rsidR="00902B84" w:rsidRPr="00A63969">
              <w:rPr>
                <w:rFonts w:asciiTheme="minorHAnsi" w:eastAsia="Times New Roman" w:hAnsiTheme="minorHAnsi" w:cs="Segoe UI"/>
                <w:color w:val="auto"/>
                <w:vertAlign w:val="superscript"/>
                <w:lang w:eastAsia="en-AU"/>
              </w:rPr>
              <w:t xml:space="preserve">  </w:t>
            </w:r>
          </w:p>
          <w:p w14:paraId="77CC5BAA" w14:textId="05D5FB3A" w:rsidR="00AD178E" w:rsidRPr="00AC61A7" w:rsidRDefault="00A63969" w:rsidP="00B13429">
            <w:pPr>
              <w:pStyle w:val="ListParagraph"/>
              <w:numPr>
                <w:ilvl w:val="0"/>
                <w:numId w:val="48"/>
              </w:numPr>
              <w:suppressAutoHyphens w:val="0"/>
              <w:spacing w:before="120" w:after="120" w:line="256" w:lineRule="auto"/>
              <w:ind w:left="453" w:hanging="357"/>
              <w:contextualSpacing w:val="0"/>
              <w:rPr>
                <w:rFonts w:asciiTheme="minorHAnsi" w:eastAsia="Times New Roman" w:hAnsiTheme="minorHAnsi" w:cs="Segoe UI"/>
                <w:color w:val="auto"/>
                <w:lang w:eastAsia="en-AU"/>
              </w:rPr>
            </w:pPr>
            <w:r>
              <w:rPr>
                <w:rFonts w:asciiTheme="minorHAnsi" w:eastAsia="Times New Roman" w:hAnsiTheme="minorHAnsi" w:cs="Segoe UI"/>
                <w:color w:val="auto"/>
                <w:lang w:eastAsia="en-AU"/>
              </w:rPr>
              <w:t>A</w:t>
            </w:r>
            <w:r w:rsidR="00AD178E" w:rsidRPr="00AC61A7">
              <w:rPr>
                <w:rFonts w:asciiTheme="minorHAnsi" w:eastAsia="Times New Roman" w:hAnsiTheme="minorHAnsi" w:cs="Segoe UI"/>
                <w:color w:val="auto"/>
                <w:lang w:eastAsia="en-AU"/>
              </w:rPr>
              <w:t xml:space="preserve"> BNL </w:t>
            </w:r>
            <w:r w:rsidR="00584105">
              <w:rPr>
                <w:rFonts w:asciiTheme="minorHAnsi" w:eastAsia="Times New Roman" w:hAnsiTheme="minorHAnsi" w:cs="Segoe UI"/>
                <w:color w:val="auto"/>
                <w:lang w:eastAsia="en-AU"/>
              </w:rPr>
              <w:t>can be used by</w:t>
            </w:r>
            <w:r w:rsidR="00AD178E" w:rsidRPr="00AC61A7">
              <w:rPr>
                <w:rFonts w:asciiTheme="minorHAnsi" w:eastAsia="Times New Roman" w:hAnsiTheme="minorHAnsi" w:cs="Segoe UI"/>
                <w:color w:val="auto"/>
                <w:lang w:eastAsia="en-AU"/>
              </w:rPr>
              <w:t xml:space="preserve"> services or communities to prioritise the most vulnerable people in an area</w:t>
            </w:r>
            <w:r w:rsidR="003402B9" w:rsidRPr="00AC61A7">
              <w:rPr>
                <w:rFonts w:asciiTheme="minorHAnsi" w:eastAsia="Times New Roman" w:hAnsiTheme="minorHAnsi" w:cs="Segoe UI"/>
                <w:color w:val="auto"/>
                <w:lang w:eastAsia="en-AU"/>
              </w:rPr>
              <w:t>.</w:t>
            </w:r>
            <w:r w:rsidR="00AD178E" w:rsidRPr="00AC61A7">
              <w:rPr>
                <w:rFonts w:asciiTheme="minorHAnsi" w:eastAsia="Times New Roman" w:hAnsiTheme="minorHAnsi" w:cs="Segoe UI"/>
                <w:color w:val="auto"/>
                <w:lang w:eastAsia="en-AU"/>
              </w:rPr>
              <w:t xml:space="preserve"> It can also capture which services are engaged with the person and who the lead service is for an individual or family. Agencies can use </w:t>
            </w:r>
            <w:r>
              <w:rPr>
                <w:rFonts w:asciiTheme="minorHAnsi" w:eastAsia="Times New Roman" w:hAnsiTheme="minorHAnsi" w:cs="Segoe UI"/>
                <w:color w:val="auto"/>
                <w:lang w:eastAsia="en-AU"/>
              </w:rPr>
              <w:t>a</w:t>
            </w:r>
            <w:r w:rsidR="00AD178E" w:rsidRPr="00AC61A7">
              <w:rPr>
                <w:rFonts w:asciiTheme="minorHAnsi" w:eastAsia="Times New Roman" w:hAnsiTheme="minorHAnsi" w:cs="Segoe UI"/>
                <w:color w:val="auto"/>
                <w:lang w:eastAsia="en-AU"/>
              </w:rPr>
              <w:t xml:space="preserve"> BNL to pool the available housing options and decide collectively who on the list would be </w:t>
            </w:r>
            <w:r w:rsidR="00AD178E" w:rsidRPr="00AC61A7">
              <w:rPr>
                <w:rFonts w:asciiTheme="minorHAnsi" w:eastAsia="Times New Roman" w:hAnsiTheme="minorHAnsi" w:cs="Segoe UI"/>
                <w:color w:val="auto"/>
                <w:lang w:eastAsia="en-AU"/>
              </w:rPr>
              <w:lastRenderedPageBreak/>
              <w:t>most in need, most appropriate, and most likely to succeed in available housing options</w:t>
            </w:r>
            <w:r w:rsidR="00902B84" w:rsidRPr="00AC61A7">
              <w:rPr>
                <w:color w:val="auto"/>
                <w:vertAlign w:val="superscript"/>
                <w:lang w:eastAsia="en-AU"/>
              </w:rPr>
              <w:endnoteReference w:id="25"/>
            </w:r>
            <w:r w:rsidR="00AD178E" w:rsidRPr="00AC61A7">
              <w:rPr>
                <w:rFonts w:asciiTheme="minorHAnsi" w:eastAsia="Times New Roman" w:hAnsiTheme="minorHAnsi" w:cs="Segoe UI"/>
                <w:color w:val="auto"/>
                <w:lang w:eastAsia="en-AU"/>
              </w:rPr>
              <w:t>.</w:t>
            </w:r>
          </w:p>
          <w:p w14:paraId="75E57088" w14:textId="7F61FF14" w:rsidR="00AD178E" w:rsidRPr="00AC61A7" w:rsidRDefault="00A63969" w:rsidP="00B13429">
            <w:pPr>
              <w:pStyle w:val="ListParagraph"/>
              <w:numPr>
                <w:ilvl w:val="0"/>
                <w:numId w:val="48"/>
              </w:numPr>
              <w:suppressAutoHyphens w:val="0"/>
              <w:spacing w:before="120" w:after="120" w:line="256" w:lineRule="auto"/>
              <w:ind w:left="453" w:hanging="357"/>
              <w:contextualSpacing w:val="0"/>
              <w:rPr>
                <w:rFonts w:asciiTheme="minorHAnsi" w:eastAsia="Times New Roman" w:hAnsiTheme="minorHAnsi" w:cs="Segoe UI"/>
                <w:color w:val="auto"/>
                <w:lang w:eastAsia="en-AU"/>
              </w:rPr>
            </w:pPr>
            <w:r>
              <w:rPr>
                <w:rFonts w:asciiTheme="minorHAnsi" w:eastAsia="Times New Roman" w:hAnsiTheme="minorHAnsi" w:cs="Segoe UI"/>
                <w:color w:val="auto"/>
                <w:lang w:eastAsia="en-AU"/>
              </w:rPr>
              <w:t>A</w:t>
            </w:r>
            <w:r w:rsidR="00AD178E" w:rsidRPr="00AC61A7">
              <w:rPr>
                <w:rFonts w:asciiTheme="minorHAnsi" w:eastAsia="Times New Roman" w:hAnsiTheme="minorHAnsi" w:cs="Segoe UI"/>
                <w:color w:val="auto"/>
                <w:lang w:eastAsia="en-AU"/>
              </w:rPr>
              <w:t xml:space="preserve"> BNL is </w:t>
            </w:r>
            <w:r>
              <w:rPr>
                <w:rFonts w:asciiTheme="minorHAnsi" w:eastAsia="Times New Roman" w:hAnsiTheme="minorHAnsi" w:cs="Segoe UI"/>
                <w:color w:val="auto"/>
                <w:lang w:eastAsia="en-AU"/>
              </w:rPr>
              <w:t xml:space="preserve">generally </w:t>
            </w:r>
            <w:r w:rsidR="00AD178E" w:rsidRPr="00AC61A7">
              <w:rPr>
                <w:rFonts w:asciiTheme="minorHAnsi" w:eastAsia="Times New Roman" w:hAnsiTheme="minorHAnsi" w:cs="Segoe UI"/>
                <w:color w:val="auto"/>
                <w:lang w:eastAsia="en-AU"/>
              </w:rPr>
              <w:t>community owned and led, which encourages collective ownership of the results within the community. It allows services to test and amend supports and understand if that improves outcomes for clients in real time</w:t>
            </w:r>
            <w:r w:rsidR="00902B84" w:rsidRPr="00AC61A7">
              <w:rPr>
                <w:rFonts w:asciiTheme="minorHAnsi" w:eastAsia="Times New Roman" w:hAnsiTheme="minorHAnsi" w:cs="Segoe UI"/>
                <w:color w:val="auto"/>
                <w:vertAlign w:val="superscript"/>
                <w:lang w:eastAsia="en-AU"/>
              </w:rPr>
              <w:endnoteReference w:id="26"/>
            </w:r>
            <w:r w:rsidR="00AD178E" w:rsidRPr="00AC61A7">
              <w:rPr>
                <w:rFonts w:asciiTheme="minorHAnsi" w:eastAsia="Times New Roman" w:hAnsiTheme="minorHAnsi" w:cs="Segoe UI"/>
                <w:color w:val="auto"/>
                <w:lang w:eastAsia="en-AU"/>
              </w:rPr>
              <w:t>.</w:t>
            </w:r>
          </w:p>
          <w:p w14:paraId="7E1B0145" w14:textId="67EB62AB" w:rsidR="00AD178E" w:rsidRPr="00AC61A7" w:rsidRDefault="00AD178E" w:rsidP="00B13429">
            <w:pPr>
              <w:pStyle w:val="ListParagraph"/>
              <w:numPr>
                <w:ilvl w:val="0"/>
                <w:numId w:val="48"/>
              </w:numPr>
              <w:suppressAutoHyphens w:val="0"/>
              <w:autoSpaceDE w:val="0"/>
              <w:autoSpaceDN w:val="0"/>
              <w:adjustRightInd w:val="0"/>
              <w:spacing w:before="120" w:after="120"/>
              <w:ind w:left="453" w:hanging="357"/>
              <w:contextualSpacing w:val="0"/>
              <w:rPr>
                <w:rFonts w:asciiTheme="minorHAnsi" w:eastAsia="Times New Roman" w:hAnsiTheme="minorHAnsi" w:cs="Segoe UI"/>
                <w:color w:val="auto"/>
                <w:lang w:eastAsia="en-AU"/>
              </w:rPr>
            </w:pPr>
            <w:r w:rsidRPr="00AC61A7">
              <w:rPr>
                <w:rFonts w:asciiTheme="minorHAnsi" w:eastAsia="Times New Roman" w:hAnsiTheme="minorHAnsi" w:cs="Segoe UI"/>
                <w:color w:val="auto"/>
                <w:lang w:eastAsia="en-AU"/>
              </w:rPr>
              <w:t xml:space="preserve">The goal is not data collection, the goal is to take people on </w:t>
            </w:r>
            <w:r w:rsidR="00A63969">
              <w:rPr>
                <w:rFonts w:asciiTheme="minorHAnsi" w:eastAsia="Times New Roman" w:hAnsiTheme="minorHAnsi" w:cs="Segoe UI"/>
                <w:color w:val="auto"/>
                <w:lang w:eastAsia="en-AU"/>
              </w:rPr>
              <w:t>the</w:t>
            </w:r>
            <w:r w:rsidRPr="00AC61A7">
              <w:rPr>
                <w:rFonts w:asciiTheme="minorHAnsi" w:eastAsia="Times New Roman" w:hAnsiTheme="minorHAnsi" w:cs="Segoe UI"/>
                <w:color w:val="auto"/>
                <w:lang w:eastAsia="en-AU"/>
              </w:rPr>
              <w:t xml:space="preserve"> BNL and make sure each person gets connected to housing, or to prevent people from coming onto the list in the first place</w:t>
            </w:r>
            <w:r w:rsidR="00902B84" w:rsidRPr="00AC61A7">
              <w:rPr>
                <w:rFonts w:asciiTheme="minorHAnsi" w:eastAsia="Times New Roman" w:hAnsiTheme="minorHAnsi" w:cs="Segoe UI"/>
                <w:color w:val="auto"/>
                <w:vertAlign w:val="superscript"/>
                <w:lang w:eastAsia="en-AU"/>
              </w:rPr>
              <w:t xml:space="preserve"> </w:t>
            </w:r>
            <w:r w:rsidR="00902B84" w:rsidRPr="00AC61A7">
              <w:rPr>
                <w:rFonts w:asciiTheme="minorHAnsi" w:eastAsia="Times New Roman" w:hAnsiTheme="minorHAnsi" w:cs="Segoe UI"/>
                <w:color w:val="auto"/>
                <w:vertAlign w:val="superscript"/>
                <w:lang w:eastAsia="en-AU"/>
              </w:rPr>
              <w:endnoteReference w:id="27"/>
            </w:r>
            <w:r w:rsidR="00902B84">
              <w:rPr>
                <w:rFonts w:asciiTheme="minorHAnsi" w:eastAsia="Times New Roman" w:hAnsiTheme="minorHAnsi" w:cs="Segoe UI"/>
                <w:color w:val="auto"/>
                <w:lang w:eastAsia="en-AU"/>
              </w:rPr>
              <w:t>.</w:t>
            </w:r>
          </w:p>
          <w:p w14:paraId="29ED30CB" w14:textId="56813858" w:rsidR="00902B84" w:rsidRPr="00A31C36" w:rsidRDefault="00A25793" w:rsidP="00902B84">
            <w:pPr>
              <w:pStyle w:val="ListParagraph"/>
              <w:numPr>
                <w:ilvl w:val="0"/>
                <w:numId w:val="48"/>
              </w:numPr>
              <w:suppressAutoHyphens w:val="0"/>
              <w:spacing w:before="120" w:after="120" w:line="256" w:lineRule="auto"/>
              <w:ind w:left="453" w:hanging="357"/>
              <w:contextualSpacing w:val="0"/>
              <w:rPr>
                <w:rFonts w:asciiTheme="minorHAnsi" w:eastAsia="Times New Roman" w:hAnsiTheme="minorHAnsi" w:cs="Segoe UI"/>
                <w:color w:val="auto"/>
                <w:lang w:eastAsia="en-AU"/>
              </w:rPr>
            </w:pPr>
            <w:r w:rsidRPr="006156FF">
              <w:rPr>
                <w:rFonts w:asciiTheme="minorHAnsi" w:eastAsia="Times New Roman" w:hAnsiTheme="minorHAnsi" w:cs="Segoe UI"/>
                <w:color w:val="auto"/>
                <w:lang w:eastAsia="en-AU"/>
              </w:rPr>
              <w:t xml:space="preserve">With consent, people can choose to make their information available to all or some services to prevent them having to retell their stories over and again. With this information available to service providers, it is easier to understand a person’s needs and collaborate to provide a </w:t>
            </w:r>
            <w:r w:rsidR="00712929" w:rsidRPr="006156FF">
              <w:rPr>
                <w:rFonts w:asciiTheme="minorHAnsi" w:eastAsia="Times New Roman" w:hAnsiTheme="minorHAnsi" w:cs="Segoe UI"/>
                <w:color w:val="auto"/>
                <w:lang w:eastAsia="en-AU"/>
              </w:rPr>
              <w:t>person-centred</w:t>
            </w:r>
            <w:r w:rsidRPr="006156FF">
              <w:rPr>
                <w:rFonts w:asciiTheme="minorHAnsi" w:eastAsia="Times New Roman" w:hAnsiTheme="minorHAnsi" w:cs="Segoe UI"/>
                <w:color w:val="auto"/>
                <w:lang w:eastAsia="en-AU"/>
              </w:rPr>
              <w:t xml:space="preserve"> response. </w:t>
            </w:r>
          </w:p>
          <w:p w14:paraId="7A302831" w14:textId="73246721" w:rsidR="00A25793" w:rsidRPr="006156FF" w:rsidRDefault="00A25793" w:rsidP="00AD178E">
            <w:pPr>
              <w:pStyle w:val="BodyText"/>
              <w:rPr>
                <w:rFonts w:eastAsia="Times New Roman" w:cs="Segoe UI"/>
                <w:color w:val="auto"/>
                <w:lang w:eastAsia="en-AU"/>
              </w:rPr>
            </w:pPr>
          </w:p>
        </w:tc>
      </w:tr>
      <w:tr w:rsidR="00764920" w:rsidRPr="006156FF" w14:paraId="2EEB892B" w14:textId="77777777" w:rsidTr="004E35A1">
        <w:trPr>
          <w:trHeight w:val="195"/>
        </w:trPr>
        <w:tc>
          <w:tcPr>
            <w:tcW w:w="18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3F3DC61" w14:textId="336E8A72" w:rsidR="00764920" w:rsidRPr="006156FF" w:rsidRDefault="003637E7" w:rsidP="00AC61A7">
            <w:pPr>
              <w:suppressAutoHyphens w:val="0"/>
              <w:spacing w:before="120" w:after="120"/>
              <w:textAlignment w:val="baseline"/>
              <w:rPr>
                <w:rFonts w:asciiTheme="minorHAnsi" w:eastAsia="Times New Roman" w:hAnsiTheme="minorHAnsi" w:cs="Segoe UI"/>
                <w:b/>
                <w:bCs/>
                <w:color w:val="auto"/>
                <w:lang w:eastAsia="en-AU"/>
              </w:rPr>
            </w:pPr>
            <w:r>
              <w:rPr>
                <w:rFonts w:asciiTheme="minorHAnsi" w:eastAsia="Times New Roman" w:hAnsiTheme="minorHAnsi" w:cs="Segoe UI"/>
                <w:b/>
                <w:bCs/>
                <w:color w:val="auto"/>
                <w:lang w:eastAsia="en-AU"/>
              </w:rPr>
              <w:lastRenderedPageBreak/>
              <w:t xml:space="preserve">2.2 </w:t>
            </w:r>
            <w:r w:rsidR="00764920" w:rsidRPr="006156FF">
              <w:rPr>
                <w:rFonts w:asciiTheme="minorHAnsi" w:eastAsia="Times New Roman" w:hAnsiTheme="minorHAnsi" w:cs="Segoe UI"/>
                <w:b/>
                <w:bCs/>
                <w:color w:val="auto"/>
                <w:lang w:eastAsia="en-AU"/>
              </w:rPr>
              <w:t>P</w:t>
            </w:r>
            <w:r w:rsidR="009307F0" w:rsidRPr="006156FF">
              <w:rPr>
                <w:rFonts w:asciiTheme="minorHAnsi" w:eastAsia="Times New Roman" w:hAnsiTheme="minorHAnsi" w:cs="Segoe UI"/>
                <w:b/>
                <w:bCs/>
                <w:color w:val="auto"/>
                <w:lang w:eastAsia="en-AU"/>
              </w:rPr>
              <w:t xml:space="preserve">eople </w:t>
            </w:r>
            <w:r w:rsidR="003A153B">
              <w:rPr>
                <w:rFonts w:asciiTheme="minorHAnsi" w:eastAsia="Times New Roman" w:hAnsiTheme="minorHAnsi" w:cs="Segoe UI"/>
                <w:b/>
                <w:bCs/>
                <w:color w:val="auto"/>
                <w:lang w:eastAsia="en-AU"/>
              </w:rPr>
              <w:t xml:space="preserve">get </w:t>
            </w:r>
            <w:r w:rsidR="00EF3C90">
              <w:rPr>
                <w:rFonts w:asciiTheme="minorHAnsi" w:eastAsia="Times New Roman" w:hAnsiTheme="minorHAnsi" w:cs="Segoe UI"/>
                <w:b/>
                <w:bCs/>
                <w:color w:val="auto"/>
                <w:lang w:eastAsia="en-AU"/>
              </w:rPr>
              <w:t>safe</w:t>
            </w:r>
            <w:r w:rsidR="009307F0" w:rsidRPr="006156FF">
              <w:rPr>
                <w:rFonts w:asciiTheme="minorHAnsi" w:eastAsia="Times New Roman" w:hAnsiTheme="minorHAnsi" w:cs="Segoe UI"/>
                <w:b/>
                <w:bCs/>
                <w:color w:val="auto"/>
                <w:lang w:eastAsia="en-AU"/>
              </w:rPr>
              <w:t xml:space="preserve"> crisis </w:t>
            </w:r>
            <w:r w:rsidR="00764920" w:rsidRPr="006156FF">
              <w:rPr>
                <w:rFonts w:asciiTheme="minorHAnsi" w:eastAsia="Times New Roman" w:hAnsiTheme="minorHAnsi" w:cs="Segoe UI"/>
                <w:b/>
                <w:bCs/>
                <w:color w:val="auto"/>
                <w:lang w:eastAsia="en-AU"/>
              </w:rPr>
              <w:t xml:space="preserve">accommodation </w:t>
            </w:r>
            <w:r>
              <w:rPr>
                <w:rFonts w:asciiTheme="minorHAnsi" w:eastAsia="Times New Roman" w:hAnsiTheme="minorHAnsi" w:cs="Segoe UI"/>
                <w:b/>
                <w:bCs/>
                <w:color w:val="auto"/>
                <w:lang w:eastAsia="en-AU"/>
              </w:rPr>
              <w:t xml:space="preserve">with </w:t>
            </w:r>
            <w:r w:rsidR="006B0719">
              <w:rPr>
                <w:rFonts w:asciiTheme="minorHAnsi" w:eastAsia="Times New Roman" w:hAnsiTheme="minorHAnsi" w:cs="Segoe UI"/>
                <w:b/>
                <w:bCs/>
                <w:color w:val="auto"/>
                <w:lang w:eastAsia="en-AU"/>
              </w:rPr>
              <w:t xml:space="preserve">appropriate </w:t>
            </w:r>
            <w:r w:rsidR="00764920" w:rsidRPr="006156FF">
              <w:rPr>
                <w:rFonts w:asciiTheme="minorHAnsi" w:eastAsia="Times New Roman" w:hAnsiTheme="minorHAnsi" w:cs="Segoe UI"/>
                <w:b/>
                <w:bCs/>
                <w:color w:val="auto"/>
                <w:lang w:eastAsia="en-AU"/>
              </w:rPr>
              <w:t xml:space="preserve">support </w:t>
            </w:r>
            <w:r w:rsidR="00B4139A" w:rsidRPr="006156FF">
              <w:rPr>
                <w:rFonts w:asciiTheme="minorHAnsi" w:eastAsia="Times New Roman" w:hAnsiTheme="minorHAnsi" w:cs="Segoe UI"/>
                <w:b/>
                <w:bCs/>
                <w:color w:val="auto"/>
                <w:lang w:eastAsia="en-AU"/>
              </w:rPr>
              <w:t>when they need it</w:t>
            </w:r>
            <w:r w:rsidR="00764920" w:rsidRPr="006156FF">
              <w:rPr>
                <w:rFonts w:asciiTheme="minorHAnsi" w:eastAsia="Times New Roman" w:hAnsiTheme="minorHAnsi" w:cs="Segoe UI"/>
                <w:b/>
                <w:bCs/>
                <w:color w:val="auto"/>
                <w:lang w:eastAsia="en-AU"/>
              </w:rPr>
              <w:t> </w:t>
            </w:r>
          </w:p>
        </w:tc>
        <w:tc>
          <w:tcPr>
            <w:tcW w:w="8167" w:type="dxa"/>
            <w:tcBorders>
              <w:top w:val="single" w:sz="4" w:space="0" w:color="auto"/>
              <w:left w:val="single" w:sz="4" w:space="0" w:color="auto"/>
              <w:bottom w:val="single" w:sz="4" w:space="0" w:color="auto"/>
              <w:right w:val="single" w:sz="4" w:space="0" w:color="auto"/>
            </w:tcBorders>
            <w:shd w:val="clear" w:color="auto" w:fill="auto"/>
            <w:hideMark/>
          </w:tcPr>
          <w:p w14:paraId="011ED2DF" w14:textId="448FBAE8" w:rsidR="00764920" w:rsidRPr="00AC61A7" w:rsidRDefault="00764920" w:rsidP="00B13429">
            <w:pPr>
              <w:pStyle w:val="ListParagraph"/>
              <w:numPr>
                <w:ilvl w:val="0"/>
                <w:numId w:val="57"/>
              </w:numPr>
              <w:suppressAutoHyphens w:val="0"/>
              <w:spacing w:before="120" w:after="120"/>
              <w:ind w:left="453" w:hanging="357"/>
              <w:textAlignment w:val="baseline"/>
              <w:rPr>
                <w:rFonts w:asciiTheme="minorHAnsi" w:eastAsia="Times New Roman" w:hAnsiTheme="minorHAnsi" w:cs="Segoe UI"/>
                <w:color w:val="auto"/>
                <w:lang w:eastAsia="en-AU"/>
              </w:rPr>
            </w:pPr>
            <w:r w:rsidRPr="00AC61A7">
              <w:rPr>
                <w:rFonts w:asciiTheme="minorHAnsi" w:eastAsia="Times New Roman" w:hAnsiTheme="minorHAnsi" w:cs="Segoe UI"/>
                <w:color w:val="auto"/>
                <w:lang w:eastAsia="en-AU"/>
              </w:rPr>
              <w:t>Timely and quality accommodation support is critical to people in crisis</w:t>
            </w:r>
            <w:r w:rsidR="00902B84">
              <w:rPr>
                <w:rStyle w:val="EndnoteReference"/>
                <w:rFonts w:asciiTheme="minorHAnsi" w:eastAsia="Times New Roman" w:hAnsiTheme="minorHAnsi" w:cs="Segoe UI"/>
                <w:color w:val="auto"/>
                <w:lang w:eastAsia="en-AU"/>
              </w:rPr>
              <w:endnoteReference w:id="28"/>
            </w:r>
            <w:r w:rsidRPr="00AC61A7">
              <w:rPr>
                <w:rFonts w:asciiTheme="minorHAnsi" w:eastAsia="Times New Roman" w:hAnsiTheme="minorHAnsi" w:cs="Segoe UI"/>
                <w:color w:val="auto"/>
                <w:lang w:eastAsia="en-AU"/>
              </w:rPr>
              <w:t xml:space="preserve">. A variety of housing support options are needed to accommodate demand. Capital investment is needed to buy, </w:t>
            </w:r>
            <w:bookmarkStart w:id="6" w:name="_Int_j1rpnZIo"/>
            <w:r w:rsidRPr="00AC61A7">
              <w:rPr>
                <w:rFonts w:asciiTheme="minorHAnsi" w:eastAsia="Times New Roman" w:hAnsiTheme="minorHAnsi" w:cs="Segoe UI"/>
                <w:color w:val="auto"/>
                <w:lang w:eastAsia="en-AU"/>
              </w:rPr>
              <w:t>maintain</w:t>
            </w:r>
            <w:bookmarkEnd w:id="6"/>
            <w:r w:rsidRPr="00AC61A7">
              <w:rPr>
                <w:rFonts w:asciiTheme="minorHAnsi" w:eastAsia="Times New Roman" w:hAnsiTheme="minorHAnsi" w:cs="Segoe UI"/>
                <w:color w:val="auto"/>
                <w:lang w:eastAsia="en-AU"/>
              </w:rPr>
              <w:t xml:space="preserve"> and upgrade housing including transitioning housing stock to support fluctuations in need</w:t>
            </w:r>
            <w:r w:rsidR="00902B84" w:rsidRPr="006156FF">
              <w:rPr>
                <w:rStyle w:val="EndnoteReference"/>
                <w:rFonts w:asciiTheme="minorHAnsi" w:eastAsia="Times New Roman" w:hAnsiTheme="minorHAnsi" w:cs="Segoe UI"/>
                <w:color w:val="auto"/>
                <w:lang w:eastAsia="en-AU"/>
              </w:rPr>
              <w:endnoteReference w:id="29"/>
            </w:r>
            <w:r w:rsidR="00480834" w:rsidRPr="00AC61A7">
              <w:rPr>
                <w:rFonts w:asciiTheme="minorHAnsi" w:eastAsia="Times New Roman" w:hAnsiTheme="minorHAnsi" w:cs="Segoe UI"/>
                <w:color w:val="auto"/>
                <w:lang w:eastAsia="en-AU"/>
              </w:rPr>
              <w:t>.</w:t>
            </w:r>
          </w:p>
          <w:p w14:paraId="4F806DE6" w14:textId="55960441" w:rsidR="00683FE5" w:rsidRPr="00442753" w:rsidRDefault="00683FE5" w:rsidP="00683FE5">
            <w:pPr>
              <w:suppressAutoHyphens w:val="0"/>
              <w:spacing w:before="120" w:after="120"/>
              <w:textAlignment w:val="baseline"/>
              <w:rPr>
                <w:rFonts w:asciiTheme="minorHAnsi" w:eastAsia="Times New Roman" w:hAnsiTheme="minorHAnsi" w:cs="Segoe UI"/>
                <w:b/>
                <w:bCs/>
                <w:color w:val="auto"/>
                <w:lang w:eastAsia="en-AU"/>
              </w:rPr>
            </w:pPr>
            <w:r w:rsidRPr="00442753">
              <w:rPr>
                <w:rFonts w:asciiTheme="minorHAnsi" w:eastAsia="Times New Roman" w:hAnsiTheme="minorHAnsi" w:cs="Segoe UI"/>
                <w:b/>
                <w:bCs/>
                <w:color w:val="auto"/>
                <w:lang w:eastAsia="en-AU"/>
              </w:rPr>
              <w:t>Temporary Accommodation</w:t>
            </w:r>
          </w:p>
          <w:p w14:paraId="2916EA77" w14:textId="46C05602" w:rsidR="0064477A" w:rsidRPr="0064477A" w:rsidRDefault="00902B84" w:rsidP="00CF477C">
            <w:pPr>
              <w:pStyle w:val="BodyText"/>
              <w:numPr>
                <w:ilvl w:val="0"/>
                <w:numId w:val="57"/>
              </w:numPr>
              <w:ind w:left="453" w:hanging="357"/>
              <w:rPr>
                <w:rFonts w:eastAsia="Times New Roman" w:cs="Segoe UI"/>
                <w:color w:val="auto"/>
                <w:lang w:eastAsia="en-AU"/>
              </w:rPr>
            </w:pPr>
            <w:r w:rsidRPr="00A63969">
              <w:rPr>
                <w:rFonts w:eastAsia="Times New Roman" w:cs="Segoe UI"/>
                <w:color w:val="auto"/>
                <w:sz w:val="20"/>
                <w:szCs w:val="20"/>
                <w:lang w:eastAsia="en-AU"/>
              </w:rPr>
              <w:t xml:space="preserve">  </w:t>
            </w:r>
            <w:r w:rsidR="00584105">
              <w:rPr>
                <w:rFonts w:eastAsia="Times New Roman" w:cs="Segoe UI"/>
                <w:color w:val="auto"/>
                <w:sz w:val="20"/>
                <w:szCs w:val="20"/>
                <w:lang w:eastAsia="en-AU"/>
              </w:rPr>
              <w:t>Wilkins and Gray (2024)</w:t>
            </w:r>
            <w:r w:rsidR="00361E6B" w:rsidRPr="00A63969">
              <w:rPr>
                <w:rFonts w:eastAsia="Times New Roman" w:cs="Segoe UI"/>
                <w:color w:val="auto"/>
                <w:sz w:val="20"/>
                <w:szCs w:val="20"/>
                <w:lang w:eastAsia="en-AU"/>
              </w:rPr>
              <w:t xml:space="preserve"> found that provision of temporary accommodation</w:t>
            </w:r>
            <w:r w:rsidR="00A63969">
              <w:rPr>
                <w:rFonts w:eastAsia="Times New Roman" w:cs="Segoe UI"/>
                <w:color w:val="auto"/>
                <w:sz w:val="20"/>
                <w:szCs w:val="20"/>
                <w:lang w:eastAsia="en-AU"/>
              </w:rPr>
              <w:t xml:space="preserve"> (TA)</w:t>
            </w:r>
            <w:r w:rsidR="00361E6B" w:rsidRPr="00A63969">
              <w:rPr>
                <w:rFonts w:eastAsia="Times New Roman" w:cs="Segoe UI"/>
                <w:color w:val="auto"/>
                <w:sz w:val="20"/>
                <w:szCs w:val="20"/>
                <w:lang w:eastAsia="en-AU"/>
              </w:rPr>
              <w:t xml:space="preserve"> </w:t>
            </w:r>
            <w:r w:rsidR="00A63969" w:rsidRPr="00A63969">
              <w:rPr>
                <w:rFonts w:eastAsia="Times New Roman" w:cs="Segoe UI"/>
                <w:color w:val="auto"/>
                <w:sz w:val="20"/>
                <w:szCs w:val="20"/>
                <w:lang w:eastAsia="en-AU"/>
              </w:rPr>
              <w:t>in the UK did</w:t>
            </w:r>
            <w:r w:rsidR="00361E6B" w:rsidRPr="00A63969">
              <w:rPr>
                <w:rFonts w:eastAsia="Times New Roman" w:cs="Segoe UI"/>
                <w:color w:val="auto"/>
                <w:sz w:val="20"/>
                <w:szCs w:val="20"/>
                <w:lang w:eastAsia="en-AU"/>
              </w:rPr>
              <w:t xml:space="preserve"> not constitute value for money and </w:t>
            </w:r>
            <w:r w:rsidR="00A63969" w:rsidRPr="00A63969">
              <w:rPr>
                <w:rFonts w:eastAsia="Times New Roman" w:cs="Segoe UI"/>
                <w:color w:val="auto"/>
                <w:sz w:val="20"/>
                <w:szCs w:val="20"/>
                <w:lang w:eastAsia="en-AU"/>
              </w:rPr>
              <w:t>or</w:t>
            </w:r>
            <w:r w:rsidR="00361E6B" w:rsidRPr="00A63969">
              <w:rPr>
                <w:rFonts w:eastAsia="Times New Roman" w:cs="Segoe UI"/>
                <w:color w:val="auto"/>
                <w:sz w:val="20"/>
                <w:szCs w:val="20"/>
                <w:lang w:eastAsia="en-AU"/>
              </w:rPr>
              <w:t xml:space="preserve"> meet the needs of the increasingly complex people who access it</w:t>
            </w:r>
            <w:r>
              <w:rPr>
                <w:rStyle w:val="EndnoteReference"/>
                <w:lang w:eastAsia="en-AU"/>
              </w:rPr>
              <w:endnoteReference w:id="30"/>
            </w:r>
            <w:r w:rsidR="00361E6B" w:rsidRPr="00A63969">
              <w:rPr>
                <w:rFonts w:eastAsia="Times New Roman" w:cs="Segoe UI"/>
                <w:color w:val="auto"/>
                <w:sz w:val="20"/>
                <w:szCs w:val="20"/>
                <w:lang w:eastAsia="en-AU"/>
              </w:rPr>
              <w:t xml:space="preserve">.  </w:t>
            </w:r>
          </w:p>
          <w:p w14:paraId="19518C35" w14:textId="5630CC35" w:rsidR="005E080B" w:rsidRPr="00A63969" w:rsidRDefault="005E080B" w:rsidP="0064477A">
            <w:pPr>
              <w:pStyle w:val="BodyText"/>
              <w:numPr>
                <w:ilvl w:val="1"/>
                <w:numId w:val="57"/>
              </w:numPr>
              <w:tabs>
                <w:tab w:val="clear" w:pos="714"/>
                <w:tab w:val="left" w:pos="931"/>
              </w:tabs>
              <w:ind w:left="790" w:hanging="284"/>
              <w:rPr>
                <w:rFonts w:eastAsia="Times New Roman" w:cs="Segoe UI"/>
                <w:color w:val="auto"/>
                <w:lang w:eastAsia="en-AU"/>
              </w:rPr>
            </w:pPr>
            <w:r w:rsidRPr="00A63969">
              <w:rPr>
                <w:rFonts w:eastAsia="Times New Roman" w:cs="Segoe UI"/>
                <w:color w:val="auto"/>
                <w:sz w:val="20"/>
                <w:szCs w:val="20"/>
                <w:lang w:eastAsia="en-AU"/>
              </w:rPr>
              <w:t xml:space="preserve">Of the £ 2.29 billion of public money spent on temporary accommodation in 2023-24, £700 million went on Bed and Breakfasts and hotels. </w:t>
            </w:r>
            <w:r w:rsidR="00A63969">
              <w:rPr>
                <w:rFonts w:eastAsia="Times New Roman" w:cs="Segoe UI"/>
                <w:color w:val="auto"/>
                <w:sz w:val="20"/>
                <w:szCs w:val="20"/>
                <w:lang w:eastAsia="en-AU"/>
              </w:rPr>
              <w:t>‘W</w:t>
            </w:r>
            <w:r w:rsidRPr="00A63969">
              <w:rPr>
                <w:rFonts w:eastAsia="Times New Roman" w:cs="Segoe UI"/>
                <w:color w:val="auto"/>
                <w:sz w:val="20"/>
                <w:szCs w:val="20"/>
                <w:lang w:eastAsia="en-AU"/>
              </w:rPr>
              <w:t>hile such accommodation does perform an essential role in an emergency, local authorities also acknowledge that it can be highly unsuitable to people’s needs. This is due to overcrowding, use of shared facilities, lack of support, restricted opportunities for children, and potential safety concerns</w:t>
            </w:r>
            <w:r w:rsidR="00A63969">
              <w:rPr>
                <w:rFonts w:eastAsia="Times New Roman" w:cs="Segoe UI"/>
                <w:color w:val="auto"/>
                <w:sz w:val="20"/>
                <w:szCs w:val="20"/>
                <w:lang w:eastAsia="en-AU"/>
              </w:rPr>
              <w:t>’</w:t>
            </w:r>
            <w:r w:rsidR="00902B84">
              <w:rPr>
                <w:rStyle w:val="EndnoteReference"/>
                <w:rFonts w:eastAsia="Times New Roman" w:cs="Segoe UI"/>
                <w:color w:val="auto"/>
                <w:lang w:eastAsia="en-AU"/>
              </w:rPr>
              <w:endnoteReference w:id="31"/>
            </w:r>
            <w:r w:rsidRPr="00A63969">
              <w:rPr>
                <w:rFonts w:eastAsia="Times New Roman" w:cs="Segoe UI"/>
                <w:color w:val="auto"/>
                <w:sz w:val="20"/>
                <w:szCs w:val="20"/>
                <w:lang w:eastAsia="en-AU"/>
              </w:rPr>
              <w:t>.</w:t>
            </w:r>
          </w:p>
          <w:p w14:paraId="1E44EBD5" w14:textId="675C7021" w:rsidR="00480834" w:rsidRPr="00AC61A7" w:rsidRDefault="00244A77" w:rsidP="0064477A">
            <w:pPr>
              <w:pStyle w:val="ListParagraph"/>
              <w:numPr>
                <w:ilvl w:val="1"/>
                <w:numId w:val="57"/>
              </w:numPr>
              <w:tabs>
                <w:tab w:val="left" w:pos="931"/>
              </w:tabs>
              <w:suppressAutoHyphens w:val="0"/>
              <w:spacing w:before="120" w:after="120"/>
              <w:ind w:left="790" w:hanging="284"/>
              <w:contextualSpacing w:val="0"/>
              <w:textAlignment w:val="baseline"/>
              <w:rPr>
                <w:rFonts w:asciiTheme="minorHAnsi" w:eastAsia="Times New Roman" w:hAnsiTheme="minorHAnsi" w:cs="Segoe UI"/>
                <w:color w:val="auto"/>
                <w:lang w:eastAsia="en-AU"/>
              </w:rPr>
            </w:pPr>
            <w:r w:rsidRPr="00AC61A7">
              <w:rPr>
                <w:rFonts w:asciiTheme="minorHAnsi" w:eastAsia="Times New Roman" w:hAnsiTheme="minorHAnsi" w:cs="Segoe UI"/>
                <w:color w:val="auto"/>
                <w:lang w:eastAsia="en-AU"/>
              </w:rPr>
              <w:t xml:space="preserve">The </w:t>
            </w:r>
            <w:r w:rsidR="00A63969">
              <w:rPr>
                <w:rFonts w:asciiTheme="minorHAnsi" w:eastAsia="Times New Roman" w:hAnsiTheme="minorHAnsi" w:cs="Segoe UI"/>
                <w:color w:val="auto"/>
                <w:lang w:eastAsia="en-AU"/>
              </w:rPr>
              <w:t>report</w:t>
            </w:r>
            <w:r w:rsidRPr="00AC61A7">
              <w:rPr>
                <w:rFonts w:asciiTheme="minorHAnsi" w:eastAsia="Times New Roman" w:hAnsiTheme="minorHAnsi" w:cs="Segoe UI"/>
                <w:color w:val="auto"/>
                <w:lang w:eastAsia="en-AU"/>
              </w:rPr>
              <w:t xml:space="preserve"> recommend</w:t>
            </w:r>
            <w:r w:rsidR="00A63969">
              <w:rPr>
                <w:rFonts w:asciiTheme="minorHAnsi" w:eastAsia="Times New Roman" w:hAnsiTheme="minorHAnsi" w:cs="Segoe UI"/>
                <w:color w:val="auto"/>
                <w:lang w:eastAsia="en-AU"/>
              </w:rPr>
              <w:t>ed</w:t>
            </w:r>
            <w:r w:rsidR="00DA1CAE" w:rsidRPr="00AC61A7">
              <w:rPr>
                <w:rFonts w:asciiTheme="minorHAnsi" w:eastAsia="Times New Roman" w:hAnsiTheme="minorHAnsi" w:cs="Segoe UI"/>
                <w:color w:val="auto"/>
                <w:lang w:eastAsia="en-AU"/>
              </w:rPr>
              <w:t xml:space="preserve"> establishing quality standards for TA, review</w:t>
            </w:r>
            <w:r w:rsidR="00A63969">
              <w:rPr>
                <w:rFonts w:asciiTheme="minorHAnsi" w:eastAsia="Times New Roman" w:hAnsiTheme="minorHAnsi" w:cs="Segoe UI"/>
                <w:color w:val="auto"/>
                <w:lang w:eastAsia="en-AU"/>
              </w:rPr>
              <w:t>ing</w:t>
            </w:r>
            <w:r w:rsidR="00DA1CAE" w:rsidRPr="00AC61A7">
              <w:rPr>
                <w:rFonts w:asciiTheme="minorHAnsi" w:eastAsia="Times New Roman" w:hAnsiTheme="minorHAnsi" w:cs="Segoe UI"/>
                <w:color w:val="auto"/>
                <w:lang w:eastAsia="en-AU"/>
              </w:rPr>
              <w:t xml:space="preserve"> funding streams, </w:t>
            </w:r>
            <w:r w:rsidR="00AA51EB" w:rsidRPr="00AC61A7">
              <w:rPr>
                <w:rFonts w:asciiTheme="minorHAnsi" w:eastAsia="Times New Roman" w:hAnsiTheme="minorHAnsi" w:cs="Segoe UI"/>
                <w:color w:val="auto"/>
                <w:lang w:eastAsia="en-AU"/>
              </w:rPr>
              <w:t>improv</w:t>
            </w:r>
            <w:r w:rsidR="00A63969">
              <w:rPr>
                <w:rFonts w:asciiTheme="minorHAnsi" w:eastAsia="Times New Roman" w:hAnsiTheme="minorHAnsi" w:cs="Segoe UI"/>
                <w:color w:val="auto"/>
                <w:lang w:eastAsia="en-AU"/>
              </w:rPr>
              <w:t>ing</w:t>
            </w:r>
            <w:r w:rsidR="00AA51EB" w:rsidRPr="00AC61A7">
              <w:rPr>
                <w:rFonts w:asciiTheme="minorHAnsi" w:eastAsia="Times New Roman" w:hAnsiTheme="minorHAnsi" w:cs="Segoe UI"/>
                <w:color w:val="auto"/>
                <w:lang w:eastAsia="en-AU"/>
              </w:rPr>
              <w:t xml:space="preserve"> data collection, properly plan</w:t>
            </w:r>
            <w:r w:rsidR="00A63969">
              <w:rPr>
                <w:rFonts w:asciiTheme="minorHAnsi" w:eastAsia="Times New Roman" w:hAnsiTheme="minorHAnsi" w:cs="Segoe UI"/>
                <w:color w:val="auto"/>
                <w:lang w:eastAsia="en-AU"/>
              </w:rPr>
              <w:t>ning</w:t>
            </w:r>
            <w:r w:rsidR="00AA51EB" w:rsidRPr="00AC61A7">
              <w:rPr>
                <w:rFonts w:asciiTheme="minorHAnsi" w:eastAsia="Times New Roman" w:hAnsiTheme="minorHAnsi" w:cs="Segoe UI"/>
                <w:color w:val="auto"/>
                <w:lang w:eastAsia="en-AU"/>
              </w:rPr>
              <w:t xml:space="preserve"> for TA</w:t>
            </w:r>
            <w:r w:rsidR="000C664C" w:rsidRPr="00AC61A7">
              <w:rPr>
                <w:rFonts w:asciiTheme="minorHAnsi" w:eastAsia="Times New Roman" w:hAnsiTheme="minorHAnsi" w:cs="Segoe UI"/>
                <w:color w:val="auto"/>
                <w:lang w:eastAsia="en-AU"/>
              </w:rPr>
              <w:t xml:space="preserve"> and undertak</w:t>
            </w:r>
            <w:r w:rsidR="00A63969">
              <w:rPr>
                <w:rFonts w:asciiTheme="minorHAnsi" w:eastAsia="Times New Roman" w:hAnsiTheme="minorHAnsi" w:cs="Segoe UI"/>
                <w:color w:val="auto"/>
                <w:lang w:eastAsia="en-AU"/>
              </w:rPr>
              <w:t>ing</w:t>
            </w:r>
            <w:r w:rsidR="000C664C" w:rsidRPr="00AC61A7">
              <w:rPr>
                <w:rFonts w:asciiTheme="minorHAnsi" w:eastAsia="Times New Roman" w:hAnsiTheme="minorHAnsi" w:cs="Segoe UI"/>
                <w:color w:val="auto"/>
                <w:lang w:eastAsia="en-AU"/>
              </w:rPr>
              <w:t xml:space="preserve"> targeted interventions to reduce the inf</w:t>
            </w:r>
            <w:r w:rsidR="000414B5" w:rsidRPr="00AC61A7">
              <w:rPr>
                <w:rFonts w:asciiTheme="minorHAnsi" w:eastAsia="Times New Roman" w:hAnsiTheme="minorHAnsi" w:cs="Segoe UI"/>
                <w:color w:val="auto"/>
                <w:lang w:eastAsia="en-AU"/>
              </w:rPr>
              <w:t xml:space="preserve">low and drive the move out </w:t>
            </w:r>
            <w:r w:rsidR="00480834" w:rsidRPr="00AC61A7">
              <w:rPr>
                <w:rFonts w:asciiTheme="minorHAnsi" w:eastAsia="Times New Roman" w:hAnsiTheme="minorHAnsi" w:cs="Segoe UI"/>
                <w:color w:val="auto"/>
                <w:lang w:eastAsia="en-AU"/>
              </w:rPr>
              <w:t>form TA</w:t>
            </w:r>
            <w:r w:rsidR="00902B84">
              <w:rPr>
                <w:rStyle w:val="EndnoteReference"/>
                <w:rFonts w:asciiTheme="minorHAnsi" w:eastAsia="Times New Roman" w:hAnsiTheme="minorHAnsi" w:cs="Segoe UI"/>
                <w:color w:val="auto"/>
                <w:lang w:eastAsia="en-AU"/>
              </w:rPr>
              <w:endnoteReference w:id="32"/>
            </w:r>
            <w:r w:rsidR="00480834" w:rsidRPr="00AC61A7">
              <w:rPr>
                <w:rFonts w:asciiTheme="minorHAnsi" w:eastAsia="Times New Roman" w:hAnsiTheme="minorHAnsi" w:cs="Segoe UI"/>
                <w:color w:val="auto"/>
                <w:lang w:eastAsia="en-AU"/>
              </w:rPr>
              <w:t>.</w:t>
            </w:r>
            <w:r w:rsidRPr="00AC61A7">
              <w:rPr>
                <w:rFonts w:asciiTheme="minorHAnsi" w:eastAsia="Times New Roman" w:hAnsiTheme="minorHAnsi" w:cs="Segoe UI"/>
                <w:color w:val="auto"/>
                <w:lang w:eastAsia="en-AU"/>
              </w:rPr>
              <w:t xml:space="preserve"> </w:t>
            </w:r>
          </w:p>
          <w:p w14:paraId="6926B627" w14:textId="37B462F4" w:rsidR="00480834" w:rsidRPr="00B71857" w:rsidRDefault="00480834" w:rsidP="00480834">
            <w:pPr>
              <w:suppressAutoHyphens w:val="0"/>
              <w:spacing w:before="120" w:after="120"/>
              <w:textAlignment w:val="baseline"/>
              <w:rPr>
                <w:rFonts w:asciiTheme="minorHAnsi" w:eastAsia="Times New Roman" w:hAnsiTheme="minorHAnsi" w:cs="Segoe UI"/>
                <w:b/>
                <w:bCs/>
                <w:color w:val="auto"/>
                <w:lang w:eastAsia="en-AU"/>
              </w:rPr>
            </w:pPr>
            <w:r w:rsidRPr="00B71857">
              <w:rPr>
                <w:rFonts w:asciiTheme="minorHAnsi" w:eastAsia="Times New Roman" w:hAnsiTheme="minorHAnsi" w:cs="Segoe UI"/>
                <w:b/>
                <w:bCs/>
                <w:color w:val="auto"/>
                <w:lang w:eastAsia="en-AU"/>
              </w:rPr>
              <w:t>Young people</w:t>
            </w:r>
          </w:p>
          <w:p w14:paraId="26935C8E" w14:textId="6AC22ABA" w:rsidR="00480834" w:rsidRPr="0064477A" w:rsidRDefault="00D72C4E" w:rsidP="0093696B">
            <w:pPr>
              <w:pStyle w:val="ListParagraph"/>
              <w:numPr>
                <w:ilvl w:val="0"/>
                <w:numId w:val="58"/>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sidRPr="0064477A">
              <w:rPr>
                <w:rFonts w:asciiTheme="minorHAnsi" w:eastAsia="Times New Roman" w:hAnsiTheme="minorHAnsi" w:cs="Segoe UI"/>
                <w:color w:val="auto"/>
                <w:lang w:eastAsia="en-AU"/>
              </w:rPr>
              <w:t xml:space="preserve">YFoundations </w:t>
            </w:r>
            <w:r w:rsidR="00584105">
              <w:rPr>
                <w:rFonts w:asciiTheme="minorHAnsi" w:eastAsia="Times New Roman" w:hAnsiTheme="minorHAnsi" w:cs="Segoe UI"/>
                <w:color w:val="auto"/>
                <w:lang w:eastAsia="en-AU"/>
              </w:rPr>
              <w:t xml:space="preserve">(2024) </w:t>
            </w:r>
            <w:r w:rsidRPr="0064477A">
              <w:rPr>
                <w:rFonts w:asciiTheme="minorHAnsi" w:eastAsia="Times New Roman" w:hAnsiTheme="minorHAnsi" w:cs="Segoe UI"/>
                <w:color w:val="auto"/>
                <w:lang w:eastAsia="en-AU"/>
              </w:rPr>
              <w:t>ha</w:t>
            </w:r>
            <w:r w:rsidR="0064477A">
              <w:rPr>
                <w:rFonts w:asciiTheme="minorHAnsi" w:eastAsia="Times New Roman" w:hAnsiTheme="minorHAnsi" w:cs="Segoe UI"/>
                <w:color w:val="auto"/>
                <w:lang w:eastAsia="en-AU"/>
              </w:rPr>
              <w:t>s</w:t>
            </w:r>
            <w:r w:rsidRPr="0064477A">
              <w:rPr>
                <w:rFonts w:asciiTheme="minorHAnsi" w:eastAsia="Times New Roman" w:hAnsiTheme="minorHAnsi" w:cs="Segoe UI"/>
                <w:color w:val="auto"/>
                <w:lang w:eastAsia="en-AU"/>
              </w:rPr>
              <w:t xml:space="preserve"> </w:t>
            </w:r>
            <w:r w:rsidR="00584105">
              <w:rPr>
                <w:rFonts w:asciiTheme="minorHAnsi" w:eastAsia="Times New Roman" w:hAnsiTheme="minorHAnsi" w:cs="Segoe UI"/>
                <w:color w:val="auto"/>
                <w:lang w:eastAsia="en-AU"/>
              </w:rPr>
              <w:t>highlighted</w:t>
            </w:r>
            <w:r w:rsidRPr="0064477A">
              <w:rPr>
                <w:rFonts w:asciiTheme="minorHAnsi" w:eastAsia="Times New Roman" w:hAnsiTheme="minorHAnsi" w:cs="Segoe UI"/>
                <w:color w:val="auto"/>
                <w:lang w:eastAsia="en-AU"/>
              </w:rPr>
              <w:t xml:space="preserve"> that </w:t>
            </w:r>
            <w:r w:rsidR="0064477A" w:rsidRPr="0064477A">
              <w:rPr>
                <w:rFonts w:asciiTheme="minorHAnsi" w:eastAsia="Times New Roman" w:hAnsiTheme="minorHAnsi" w:cs="Segoe UI"/>
                <w:color w:val="auto"/>
                <w:lang w:eastAsia="en-AU"/>
              </w:rPr>
              <w:t>‘</w:t>
            </w:r>
            <w:r w:rsidRPr="0064477A">
              <w:rPr>
                <w:rFonts w:asciiTheme="minorHAnsi" w:eastAsia="Times New Roman" w:hAnsiTheme="minorHAnsi" w:cs="Segoe UI"/>
                <w:color w:val="auto"/>
                <w:lang w:eastAsia="en-AU"/>
              </w:rPr>
              <w:t>[w]</w:t>
            </w:r>
            <w:r w:rsidR="00480834" w:rsidRPr="0064477A">
              <w:rPr>
                <w:rFonts w:asciiTheme="minorHAnsi" w:eastAsia="Times New Roman" w:hAnsiTheme="minorHAnsi" w:cs="Segoe UI"/>
                <w:color w:val="auto"/>
                <w:lang w:eastAsia="en-AU"/>
              </w:rPr>
              <w:t>here adequately resourced and implemented, there is significant potential for supported temporary accommodation to act as an entry point for young people into a more effective, coordinated and systemic response to addressing their homelessness. As the core focus of the support provided would be on connecting the young person to the services they require and moving them as quickly as possible to the accommodation or housing solution best suited to their needs, the reform of temporary accommodation must be accompanied with increased investments in age-appropriate models of crisis, transitional and medium-term housing”</w:t>
            </w:r>
            <w:r w:rsidR="00480834">
              <w:rPr>
                <w:rStyle w:val="EndnoteReference"/>
                <w:rFonts w:asciiTheme="minorHAnsi" w:eastAsia="Times New Roman" w:hAnsiTheme="minorHAnsi" w:cs="Segoe UI"/>
                <w:color w:val="auto"/>
                <w:lang w:eastAsia="en-AU"/>
              </w:rPr>
              <w:endnoteReference w:id="33"/>
            </w:r>
            <w:r w:rsidR="0064477A">
              <w:rPr>
                <w:rFonts w:asciiTheme="minorHAnsi" w:eastAsia="Times New Roman" w:hAnsiTheme="minorHAnsi" w:cs="Segoe UI"/>
                <w:color w:val="auto"/>
                <w:lang w:eastAsia="en-AU"/>
              </w:rPr>
              <w:t>.</w:t>
            </w:r>
          </w:p>
          <w:p w14:paraId="1D5A5E97" w14:textId="3641CF66" w:rsidR="00875BD9" w:rsidRPr="00442753" w:rsidRDefault="00875BD9" w:rsidP="00875BD9">
            <w:pPr>
              <w:suppressAutoHyphens w:val="0"/>
              <w:spacing w:before="120" w:after="120"/>
              <w:textAlignment w:val="baseline"/>
              <w:rPr>
                <w:lang w:eastAsia="en-AU"/>
              </w:rPr>
            </w:pPr>
          </w:p>
        </w:tc>
      </w:tr>
      <w:tr w:rsidR="00764920" w:rsidRPr="006156FF" w14:paraId="106CA922" w14:textId="77777777" w:rsidTr="004E35A1">
        <w:trPr>
          <w:trHeight w:val="195"/>
        </w:trPr>
        <w:tc>
          <w:tcPr>
            <w:tcW w:w="1890"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EE940F7" w14:textId="32C1FE4C" w:rsidR="00764920" w:rsidRPr="006156FF" w:rsidRDefault="00A36B13" w:rsidP="00AC61A7">
            <w:pPr>
              <w:suppressAutoHyphens w:val="0"/>
              <w:spacing w:before="120" w:after="120"/>
              <w:textAlignment w:val="baseline"/>
              <w:rPr>
                <w:rFonts w:asciiTheme="minorHAnsi" w:eastAsia="Times New Roman" w:hAnsiTheme="minorHAnsi" w:cs="Segoe UI"/>
                <w:b/>
                <w:bCs/>
                <w:color w:val="auto"/>
                <w:lang w:eastAsia="en-AU"/>
              </w:rPr>
            </w:pPr>
            <w:r>
              <w:rPr>
                <w:rFonts w:asciiTheme="minorHAnsi" w:eastAsia="Times New Roman" w:hAnsiTheme="minorHAnsi" w:cs="Segoe UI"/>
                <w:b/>
                <w:bCs/>
                <w:color w:val="auto"/>
                <w:lang w:eastAsia="en-AU"/>
              </w:rPr>
              <w:t xml:space="preserve">2.3 </w:t>
            </w:r>
            <w:r w:rsidR="00B4139A" w:rsidRPr="006156FF">
              <w:rPr>
                <w:rFonts w:asciiTheme="minorHAnsi" w:eastAsia="Times New Roman" w:hAnsiTheme="minorHAnsi" w:cs="Segoe UI"/>
                <w:b/>
                <w:bCs/>
                <w:color w:val="auto"/>
                <w:lang w:eastAsia="en-AU"/>
              </w:rPr>
              <w:t xml:space="preserve">People </w:t>
            </w:r>
            <w:r w:rsidR="00942281">
              <w:rPr>
                <w:rFonts w:asciiTheme="minorHAnsi" w:eastAsia="Times New Roman" w:hAnsiTheme="minorHAnsi" w:cs="Segoe UI"/>
                <w:b/>
                <w:bCs/>
                <w:color w:val="auto"/>
                <w:lang w:eastAsia="en-AU"/>
              </w:rPr>
              <w:t xml:space="preserve">move out of homelessness into longer-term housing </w:t>
            </w:r>
            <w:r w:rsidR="007F3714">
              <w:rPr>
                <w:rFonts w:asciiTheme="minorHAnsi" w:eastAsia="Times New Roman" w:hAnsiTheme="minorHAnsi" w:cs="Segoe UI"/>
                <w:b/>
                <w:bCs/>
                <w:color w:val="auto"/>
                <w:lang w:eastAsia="en-AU"/>
              </w:rPr>
              <w:t xml:space="preserve">with tailored support </w:t>
            </w:r>
          </w:p>
        </w:tc>
        <w:tc>
          <w:tcPr>
            <w:tcW w:w="8167" w:type="dxa"/>
            <w:tcBorders>
              <w:top w:val="single" w:sz="4" w:space="0" w:color="auto"/>
              <w:left w:val="single" w:sz="4" w:space="0" w:color="auto"/>
              <w:bottom w:val="single" w:sz="4" w:space="0" w:color="auto"/>
              <w:right w:val="single" w:sz="4" w:space="0" w:color="auto"/>
            </w:tcBorders>
            <w:shd w:val="clear" w:color="auto" w:fill="auto"/>
            <w:hideMark/>
          </w:tcPr>
          <w:p w14:paraId="14673510" w14:textId="7EEE137C" w:rsidR="004E78A2" w:rsidRPr="00442753" w:rsidRDefault="004E78A2" w:rsidP="004E35A1">
            <w:pPr>
              <w:suppressAutoHyphens w:val="0"/>
              <w:spacing w:before="120" w:after="120"/>
              <w:textAlignment w:val="baseline"/>
              <w:rPr>
                <w:rFonts w:asciiTheme="minorHAnsi" w:eastAsia="Times New Roman" w:hAnsiTheme="minorHAnsi" w:cs="Segoe UI"/>
                <w:b/>
                <w:bCs/>
                <w:color w:val="auto"/>
                <w:lang w:eastAsia="en-AU"/>
              </w:rPr>
            </w:pPr>
            <w:r w:rsidRPr="00442753">
              <w:rPr>
                <w:rFonts w:asciiTheme="minorHAnsi" w:eastAsia="Times New Roman" w:hAnsiTheme="minorHAnsi" w:cs="Segoe UI"/>
                <w:b/>
                <w:bCs/>
                <w:color w:val="auto"/>
                <w:lang w:eastAsia="en-AU"/>
              </w:rPr>
              <w:t>Young people</w:t>
            </w:r>
          </w:p>
          <w:p w14:paraId="3E816176" w14:textId="299D58DF" w:rsidR="004E35A1" w:rsidRPr="00AC61A7" w:rsidRDefault="00764920" w:rsidP="00B13429">
            <w:pPr>
              <w:pStyle w:val="ListParagraph"/>
              <w:numPr>
                <w:ilvl w:val="0"/>
                <w:numId w:val="59"/>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sidRPr="00AC61A7">
              <w:rPr>
                <w:rFonts w:asciiTheme="minorHAnsi" w:eastAsia="Times New Roman" w:hAnsiTheme="minorHAnsi" w:cs="Segoe UI"/>
                <w:color w:val="auto"/>
                <w:lang w:eastAsia="en-AU"/>
              </w:rPr>
              <w:t xml:space="preserve">A broader system reform away from a program-oriented approach to a localised cross-sectoral framework for support and service delivery will </w:t>
            </w:r>
            <w:bookmarkStart w:id="7" w:name="_Int_L3o78Wvk"/>
            <w:r w:rsidRPr="00AC61A7">
              <w:rPr>
                <w:rFonts w:asciiTheme="minorHAnsi" w:eastAsia="Times New Roman" w:hAnsiTheme="minorHAnsi" w:cs="Segoe UI"/>
                <w:color w:val="auto"/>
                <w:lang w:eastAsia="en-AU"/>
              </w:rPr>
              <w:t>benefit</w:t>
            </w:r>
            <w:bookmarkEnd w:id="7"/>
            <w:r w:rsidRPr="00AC61A7">
              <w:rPr>
                <w:rFonts w:asciiTheme="minorHAnsi" w:eastAsia="Times New Roman" w:hAnsiTheme="minorHAnsi" w:cs="Segoe UI"/>
                <w:color w:val="auto"/>
                <w:lang w:eastAsia="en-AU"/>
              </w:rPr>
              <w:t xml:space="preserve"> all cohorts including young people who are at-risk or experiencing homelessness. Systematic implementation of a localised community approach to early intervention within a strong data-driven outcomes framework will support the flow of young people out of homelessness</w:t>
            </w:r>
            <w:r w:rsidRPr="006156FF">
              <w:rPr>
                <w:rStyle w:val="EndnoteReference"/>
                <w:rFonts w:asciiTheme="minorHAnsi" w:eastAsia="Times New Roman" w:hAnsiTheme="minorHAnsi" w:cs="Segoe UI"/>
                <w:color w:val="auto"/>
                <w:lang w:eastAsia="en-AU"/>
              </w:rPr>
              <w:endnoteReference w:id="34"/>
            </w:r>
            <w:r w:rsidR="00106698" w:rsidRPr="00AC61A7">
              <w:rPr>
                <w:rFonts w:asciiTheme="minorHAnsi" w:eastAsia="Times New Roman" w:hAnsiTheme="minorHAnsi" w:cs="Segoe UI"/>
                <w:color w:val="auto"/>
                <w:lang w:eastAsia="en-AU"/>
              </w:rPr>
              <w:t>.</w:t>
            </w:r>
          </w:p>
          <w:p w14:paraId="06976444" w14:textId="007E20DE" w:rsidR="00A913DC" w:rsidRPr="00AC61A7" w:rsidRDefault="00764920" w:rsidP="00B13429">
            <w:pPr>
              <w:pStyle w:val="ListParagraph"/>
              <w:numPr>
                <w:ilvl w:val="0"/>
                <w:numId w:val="59"/>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sidRPr="00AC61A7">
              <w:rPr>
                <w:rFonts w:asciiTheme="minorHAnsi" w:eastAsia="Times New Roman" w:hAnsiTheme="minorHAnsi" w:cs="Segoe UI"/>
                <w:color w:val="auto"/>
                <w:lang w:eastAsia="en-AU"/>
              </w:rPr>
              <w:t xml:space="preserve">A systemic review of effective practices to reduce homelessness and disadvantage found that, from the perspective of young people, the most important aspects were positive and supportive relationships between young people and support workers; </w:t>
            </w:r>
            <w:r w:rsidRPr="00AC61A7">
              <w:rPr>
                <w:rFonts w:asciiTheme="minorHAnsi" w:eastAsia="Times New Roman" w:hAnsiTheme="minorHAnsi" w:cs="Segoe UI"/>
                <w:color w:val="auto"/>
                <w:lang w:eastAsia="en-AU"/>
              </w:rPr>
              <w:lastRenderedPageBreak/>
              <w:t>youth-centred programs that support positive youth development; integrated and multidisciplinary service delivery; and flexible and ongoing support beyond housing; and strengths and resilience based therapeutic approaches</w:t>
            </w:r>
            <w:r w:rsidRPr="006156FF">
              <w:rPr>
                <w:rStyle w:val="EndnoteReference"/>
                <w:rFonts w:asciiTheme="minorHAnsi" w:eastAsia="Times New Roman" w:hAnsiTheme="minorHAnsi" w:cs="Segoe UI"/>
                <w:color w:val="auto"/>
                <w:lang w:eastAsia="en-AU"/>
              </w:rPr>
              <w:endnoteReference w:id="35"/>
            </w:r>
            <w:r w:rsidR="00106698" w:rsidRPr="00AC61A7">
              <w:rPr>
                <w:rFonts w:asciiTheme="minorHAnsi" w:eastAsia="Times New Roman" w:hAnsiTheme="minorHAnsi" w:cs="Segoe UI"/>
                <w:color w:val="auto"/>
                <w:lang w:eastAsia="en-AU"/>
              </w:rPr>
              <w:t>.</w:t>
            </w:r>
            <w:r w:rsidR="00A913DC" w:rsidRPr="00AC61A7">
              <w:rPr>
                <w:rFonts w:asciiTheme="minorHAnsi" w:eastAsia="Times New Roman" w:hAnsiTheme="minorHAnsi" w:cs="Segoe UI"/>
                <w:color w:val="auto"/>
                <w:lang w:eastAsia="en-AU"/>
              </w:rPr>
              <w:t xml:space="preserve"> </w:t>
            </w:r>
          </w:p>
          <w:p w14:paraId="4FC58EDC" w14:textId="5CBD82E4" w:rsidR="00CC302F" w:rsidRPr="00AC61A7" w:rsidRDefault="00584105" w:rsidP="00B13429">
            <w:pPr>
              <w:pStyle w:val="ListParagraph"/>
              <w:numPr>
                <w:ilvl w:val="0"/>
                <w:numId w:val="59"/>
              </w:numPr>
              <w:suppressAutoHyphens w:val="0"/>
              <w:spacing w:before="120" w:after="120"/>
              <w:ind w:left="453" w:hanging="357"/>
              <w:contextualSpacing w:val="0"/>
              <w:textAlignment w:val="baseline"/>
              <w:rPr>
                <w:rFonts w:asciiTheme="minorHAnsi" w:eastAsia="Times New Roman" w:hAnsiTheme="minorHAnsi" w:cs="Segoe UI"/>
                <w:color w:val="000000"/>
                <w:lang w:eastAsia="en-AU"/>
              </w:rPr>
            </w:pPr>
            <w:r>
              <w:rPr>
                <w:rFonts w:asciiTheme="minorHAnsi" w:eastAsia="Times New Roman" w:hAnsiTheme="minorHAnsi" w:cs="Segoe UI"/>
                <w:color w:val="000000"/>
                <w:lang w:eastAsia="en-AU"/>
              </w:rPr>
              <w:t>Valentine et al (2020) found the</w:t>
            </w:r>
            <w:r w:rsidR="00CC302F" w:rsidRPr="00AC61A7">
              <w:rPr>
                <w:rFonts w:asciiTheme="minorHAnsi" w:eastAsia="Times New Roman" w:hAnsiTheme="minorHAnsi" w:cs="Segoe UI"/>
                <w:color w:val="000000"/>
                <w:lang w:eastAsia="en-AU"/>
              </w:rPr>
              <w:t xml:space="preserve"> challenges of family homelessness </w:t>
            </w:r>
            <w:r>
              <w:rPr>
                <w:rFonts w:asciiTheme="minorHAnsi" w:eastAsia="Times New Roman" w:hAnsiTheme="minorHAnsi" w:cs="Segoe UI"/>
                <w:color w:val="000000"/>
                <w:lang w:eastAsia="en-AU"/>
              </w:rPr>
              <w:t>‘</w:t>
            </w:r>
            <w:r w:rsidR="00CC302F" w:rsidRPr="00AC61A7">
              <w:rPr>
                <w:rFonts w:asciiTheme="minorHAnsi" w:eastAsia="Times New Roman" w:hAnsiTheme="minorHAnsi" w:cs="Segoe UI"/>
                <w:color w:val="000000"/>
                <w:lang w:eastAsia="en-AU"/>
              </w:rPr>
              <w:t>highlight the need for integrated housing and non-housing support… While there is consensus that homelessness is driven by both structural and individual factors, and that responses need to address both, the homelessness system is too narrowly defined to incorporate these drivers. Options for policy development include redesigning the homelessness service system to include long-term housing providers, and to include assessment of the impact of health and justice systems on housing outcomes</w:t>
            </w:r>
            <w:r w:rsidR="0064477A">
              <w:rPr>
                <w:rFonts w:asciiTheme="minorHAnsi" w:eastAsia="Times New Roman" w:hAnsiTheme="minorHAnsi" w:cs="Segoe UI"/>
                <w:color w:val="000000"/>
                <w:lang w:eastAsia="en-AU"/>
              </w:rPr>
              <w:t>’</w:t>
            </w:r>
            <w:r w:rsidR="00AC61A7">
              <w:rPr>
                <w:rStyle w:val="EndnoteReference"/>
                <w:rFonts w:asciiTheme="minorHAnsi" w:eastAsia="Times New Roman" w:hAnsiTheme="minorHAnsi" w:cs="Segoe UI"/>
                <w:color w:val="000000"/>
                <w:lang w:eastAsia="en-AU"/>
              </w:rPr>
              <w:endnoteReference w:id="36"/>
            </w:r>
            <w:r w:rsidR="00CC302F" w:rsidRPr="00AC61A7">
              <w:rPr>
                <w:rFonts w:asciiTheme="minorHAnsi" w:eastAsia="Times New Roman" w:hAnsiTheme="minorHAnsi" w:cs="Segoe UI"/>
                <w:color w:val="000000"/>
                <w:lang w:eastAsia="en-AU"/>
              </w:rPr>
              <w:t>.</w:t>
            </w:r>
          </w:p>
          <w:p w14:paraId="3CF682CF" w14:textId="23231458" w:rsidR="006719E0" w:rsidRPr="00442753" w:rsidRDefault="006719E0" w:rsidP="006719E0">
            <w:pPr>
              <w:suppressAutoHyphens w:val="0"/>
              <w:spacing w:before="120" w:after="120"/>
              <w:textAlignment w:val="baseline"/>
              <w:rPr>
                <w:rFonts w:asciiTheme="minorHAnsi" w:eastAsia="Times New Roman" w:hAnsiTheme="minorHAnsi" w:cs="Segoe UI"/>
                <w:b/>
                <w:bCs/>
                <w:color w:val="auto"/>
                <w:lang w:eastAsia="en-AU"/>
              </w:rPr>
            </w:pPr>
            <w:r w:rsidRPr="00442753">
              <w:rPr>
                <w:rFonts w:asciiTheme="minorHAnsi" w:eastAsia="Times New Roman" w:hAnsiTheme="minorHAnsi" w:cs="Segoe UI"/>
                <w:b/>
                <w:bCs/>
                <w:color w:val="auto"/>
                <w:lang w:eastAsia="en-AU"/>
              </w:rPr>
              <w:t>Housing First</w:t>
            </w:r>
          </w:p>
          <w:p w14:paraId="7DD01346" w14:textId="77777777" w:rsidR="006F1FE3" w:rsidRPr="006156FF" w:rsidRDefault="006F1FE3" w:rsidP="00B13429">
            <w:pPr>
              <w:pStyle w:val="BodytextAHURI"/>
              <w:numPr>
                <w:ilvl w:val="0"/>
                <w:numId w:val="60"/>
              </w:numPr>
              <w:spacing w:before="120" w:after="120" w:line="240" w:lineRule="auto"/>
              <w:ind w:left="453" w:hanging="357"/>
              <w:rPr>
                <w:rFonts w:asciiTheme="minorHAnsi" w:eastAsia="Times New Roman" w:hAnsiTheme="minorHAnsi" w:cs="Times New Roman"/>
                <w:sz w:val="20"/>
                <w:szCs w:val="20"/>
              </w:rPr>
            </w:pPr>
            <w:r w:rsidRPr="006156FF">
              <w:rPr>
                <w:rFonts w:asciiTheme="minorHAnsi" w:eastAsia="Times New Roman" w:hAnsiTheme="minorHAnsi" w:cs="Times New Roman"/>
                <w:sz w:val="20"/>
                <w:szCs w:val="20"/>
              </w:rPr>
              <w:t>Programs that incorporate Housing First principles provide access to permanent, supported housing without any preconditions (e.g. no requirement to be ‘housing ready’ or substance free)</w:t>
            </w:r>
            <w:r w:rsidRPr="006156FF">
              <w:rPr>
                <w:rStyle w:val="EndnoteReference"/>
                <w:rFonts w:asciiTheme="minorHAnsi" w:eastAsia="Times New Roman" w:hAnsiTheme="minorHAnsi" w:cs="Segoe UI"/>
                <w:sz w:val="20"/>
                <w:szCs w:val="20"/>
                <w:lang w:eastAsia="en-AU"/>
              </w:rPr>
              <w:t xml:space="preserve"> </w:t>
            </w:r>
            <w:r w:rsidRPr="006156FF">
              <w:rPr>
                <w:rStyle w:val="EndnoteReference"/>
                <w:rFonts w:asciiTheme="minorHAnsi" w:eastAsia="Times New Roman" w:hAnsiTheme="minorHAnsi" w:cs="Segoe UI"/>
                <w:sz w:val="20"/>
                <w:szCs w:val="20"/>
                <w:lang w:eastAsia="en-AU"/>
              </w:rPr>
              <w:endnoteReference w:id="37"/>
            </w:r>
            <w:r w:rsidRPr="006156FF">
              <w:rPr>
                <w:rFonts w:asciiTheme="minorHAnsi" w:eastAsia="Times New Roman" w:hAnsiTheme="minorHAnsi" w:cs="Times New Roman"/>
                <w:sz w:val="20"/>
                <w:szCs w:val="20"/>
              </w:rPr>
              <w:t>. Research identifies this as best practice to support people experiencing chronic homelessness and/or with high and complex needs to achieve housing stability</w:t>
            </w:r>
            <w:r w:rsidRPr="006156FF">
              <w:rPr>
                <w:rFonts w:asciiTheme="minorHAnsi" w:eastAsia="Times New Roman" w:hAnsiTheme="minorHAnsi" w:cs="Times New Roman"/>
                <w:sz w:val="20"/>
                <w:szCs w:val="20"/>
                <w:vertAlign w:val="superscript"/>
              </w:rPr>
              <w:t>.</w:t>
            </w:r>
            <w:r w:rsidRPr="006156FF">
              <w:rPr>
                <w:rStyle w:val="EndnoteReference"/>
                <w:rFonts w:asciiTheme="minorHAnsi" w:eastAsia="Times New Roman" w:hAnsiTheme="minorHAnsi" w:cs="Times New Roman"/>
                <w:sz w:val="20"/>
                <w:szCs w:val="20"/>
              </w:rPr>
              <w:endnoteReference w:id="38"/>
            </w:r>
            <w:r w:rsidRPr="006156FF">
              <w:rPr>
                <w:rFonts w:asciiTheme="minorHAnsi" w:eastAsia="Times New Roman" w:hAnsiTheme="minorHAnsi" w:cs="Times New Roman"/>
                <w:sz w:val="20"/>
                <w:szCs w:val="20"/>
              </w:rPr>
              <w:t>. It is also successful in enabling access to services and improving some non-housing outcomes such as mental health, health and justice outcomes. Though most evidence is based on programs targeted towards chronic homelessness, emerging programs and evidence show effectiveness for other cohorts.</w:t>
            </w:r>
          </w:p>
          <w:p w14:paraId="3280538D" w14:textId="2DE37B63" w:rsidR="006F1FE3" w:rsidRPr="006156FF" w:rsidRDefault="00D72C4E" w:rsidP="00B13429">
            <w:pPr>
              <w:pStyle w:val="BodyText"/>
              <w:numPr>
                <w:ilvl w:val="0"/>
                <w:numId w:val="60"/>
              </w:numPr>
              <w:ind w:left="453" w:hanging="357"/>
              <w:rPr>
                <w:color w:val="auto"/>
                <w:sz w:val="20"/>
                <w:szCs w:val="20"/>
              </w:rPr>
            </w:pPr>
            <w:r>
              <w:rPr>
                <w:rFonts w:eastAsia="Times New Roman" w:cs="Times New Roman"/>
                <w:color w:val="auto"/>
                <w:sz w:val="20"/>
                <w:szCs w:val="20"/>
              </w:rPr>
              <w:t xml:space="preserve"> </w:t>
            </w:r>
            <w:r w:rsidR="006F1FE3" w:rsidRPr="006156FF">
              <w:rPr>
                <w:rFonts w:eastAsia="Times New Roman" w:cs="Times New Roman"/>
                <w:color w:val="auto"/>
                <w:sz w:val="20"/>
                <w:szCs w:val="20"/>
              </w:rPr>
              <w:t xml:space="preserve">The effectiveness of programs that adopt Housing First principles is attributed to the provision of housing, length of support and intensity of support which provides stability for those experiencing homelessness to address other support needs. For example, 74 per cent of clients housed by the Together Home Program (THP) sustained their tenancies. </w:t>
            </w:r>
          </w:p>
          <w:p w14:paraId="6BA89E9C" w14:textId="0B015118" w:rsidR="006F1FE3" w:rsidRDefault="00D72C4E" w:rsidP="00B13429">
            <w:pPr>
              <w:pStyle w:val="BodyText"/>
              <w:numPr>
                <w:ilvl w:val="0"/>
                <w:numId w:val="60"/>
              </w:numPr>
              <w:ind w:left="453" w:hanging="357"/>
              <w:rPr>
                <w:color w:val="auto"/>
              </w:rPr>
            </w:pPr>
            <w:r>
              <w:rPr>
                <w:rFonts w:eastAsia="Times New Roman" w:cs="Times New Roman"/>
                <w:color w:val="auto"/>
                <w:sz w:val="20"/>
                <w:szCs w:val="20"/>
              </w:rPr>
              <w:t xml:space="preserve"> </w:t>
            </w:r>
            <w:r w:rsidR="006F1FE3" w:rsidRPr="00442753">
              <w:rPr>
                <w:rFonts w:eastAsia="Times New Roman" w:cs="Times New Roman"/>
                <w:color w:val="auto"/>
                <w:sz w:val="20"/>
                <w:szCs w:val="20"/>
              </w:rPr>
              <w:t>Programs that adopt Housing First principles</w:t>
            </w:r>
            <w:r w:rsidR="006F1FE3" w:rsidRPr="00442753" w:rsidDel="00BD65FF">
              <w:rPr>
                <w:rFonts w:eastAsia="Times New Roman" w:cs="Times New Roman"/>
                <w:color w:val="auto"/>
                <w:sz w:val="20"/>
                <w:szCs w:val="20"/>
              </w:rPr>
              <w:t xml:space="preserve"> </w:t>
            </w:r>
            <w:r w:rsidR="006F1FE3" w:rsidRPr="00442753">
              <w:rPr>
                <w:rFonts w:eastAsia="Times New Roman" w:cs="Times New Roman"/>
                <w:color w:val="auto"/>
                <w:sz w:val="20"/>
                <w:szCs w:val="20"/>
              </w:rPr>
              <w:t>are increasingly used for cohorts of people who are experiencing homelessness but may not have been rough sleepers or have complex needs. Whilst pathways into homelessness are complex and varied, the effectiveness of tailored support and stable housing indicates that the Housing First philosophy and principles would be appropriate for Aboriginal people, young people, women and families. For example, a third of THP clients identify as Aboriginal. Early findings from the THP Aboriginal-Led Model operating in the Central Coast indicate that the delivery of culturally appropriate services is critical for the success of programs that adopt Housing First principles</w:t>
            </w:r>
            <w:r w:rsidR="006F1FE3" w:rsidRPr="00442753" w:rsidDel="00BD65FF">
              <w:rPr>
                <w:rFonts w:eastAsia="Times New Roman" w:cs="Times New Roman"/>
                <w:color w:val="auto"/>
                <w:sz w:val="20"/>
                <w:szCs w:val="20"/>
              </w:rPr>
              <w:t xml:space="preserve"> </w:t>
            </w:r>
            <w:r w:rsidR="006F1FE3" w:rsidRPr="00442753">
              <w:rPr>
                <w:rFonts w:eastAsia="Times New Roman" w:cs="Times New Roman"/>
                <w:color w:val="auto"/>
                <w:sz w:val="20"/>
                <w:szCs w:val="20"/>
              </w:rPr>
              <w:t>in Australia</w:t>
            </w:r>
            <w:r w:rsidR="006F1FE3" w:rsidRPr="006156FF">
              <w:rPr>
                <w:rStyle w:val="EndnoteReference"/>
                <w:color w:val="auto"/>
              </w:rPr>
              <w:endnoteReference w:id="39"/>
            </w:r>
            <w:r w:rsidR="006F1FE3" w:rsidRPr="006156FF">
              <w:rPr>
                <w:color w:val="auto"/>
              </w:rPr>
              <w:t>.</w:t>
            </w:r>
          </w:p>
          <w:p w14:paraId="7510612B" w14:textId="5AAB2EE9" w:rsidR="008925FD" w:rsidRPr="00AC61A7" w:rsidRDefault="00B1462B" w:rsidP="00B13429">
            <w:pPr>
              <w:pStyle w:val="ListParagraph"/>
              <w:numPr>
                <w:ilvl w:val="0"/>
                <w:numId w:val="60"/>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sidRPr="00AC61A7">
              <w:rPr>
                <w:rFonts w:asciiTheme="minorHAnsi" w:eastAsia="Times New Roman" w:hAnsiTheme="minorHAnsi" w:cs="Segoe UI"/>
                <w:color w:val="auto"/>
                <w:lang w:eastAsia="en-AU"/>
              </w:rPr>
              <w:t xml:space="preserve">Closing the Gap clearly defines the importance of service delivery by Aboriginal </w:t>
            </w:r>
            <w:r w:rsidR="00AC61A7" w:rsidRPr="00AC61A7">
              <w:rPr>
                <w:rFonts w:asciiTheme="minorHAnsi" w:eastAsia="Times New Roman" w:hAnsiTheme="minorHAnsi" w:cs="Segoe UI"/>
                <w:color w:val="auto"/>
                <w:lang w:eastAsia="en-AU"/>
              </w:rPr>
              <w:t>community-controlled</w:t>
            </w:r>
            <w:r w:rsidRPr="00AC61A7">
              <w:rPr>
                <w:rFonts w:asciiTheme="minorHAnsi" w:eastAsia="Times New Roman" w:hAnsiTheme="minorHAnsi" w:cs="Segoe UI"/>
                <w:color w:val="auto"/>
                <w:lang w:eastAsia="en-AU"/>
              </w:rPr>
              <w:t xml:space="preserve"> organisations.</w:t>
            </w:r>
          </w:p>
        </w:tc>
      </w:tr>
    </w:tbl>
    <w:p w14:paraId="45740F74" w14:textId="78F7ECD3" w:rsidR="00151F0E" w:rsidRPr="004A257E" w:rsidRDefault="00151F0E" w:rsidP="004A257E">
      <w:pPr>
        <w:pStyle w:val="Heading1"/>
        <w:rPr>
          <w:rStyle w:val="Heading1Char"/>
        </w:rPr>
      </w:pPr>
      <w:bookmarkStart w:id="8" w:name="_Toc171943324"/>
      <w:r w:rsidRPr="004A257E">
        <w:rPr>
          <w:rStyle w:val="Heading1Char"/>
        </w:rPr>
        <w:lastRenderedPageBreak/>
        <w:t>Homelessness is not repeated</w:t>
      </w:r>
    </w:p>
    <w:p w14:paraId="56F0F686" w14:textId="10F94260" w:rsidR="00151A0C" w:rsidRPr="004A257E" w:rsidRDefault="00151A0C" w:rsidP="004A257E">
      <w:pPr>
        <w:pStyle w:val="Heading2"/>
        <w:rPr>
          <w:rStyle w:val="Heading1Char"/>
          <w:sz w:val="28"/>
        </w:rPr>
      </w:pPr>
      <w:r w:rsidRPr="004A257E">
        <w:rPr>
          <w:rStyle w:val="Heading1Char"/>
          <w:sz w:val="28"/>
        </w:rPr>
        <w:t>Outcome 3 - When homelessness does occur, people do not experience multiple episodes of homelessness</w:t>
      </w:r>
      <w:bookmarkEnd w:id="8"/>
    </w:p>
    <w:p w14:paraId="70886185" w14:textId="77777777" w:rsidR="00764920" w:rsidRPr="006156FF" w:rsidRDefault="00764920" w:rsidP="00764920">
      <w:pPr>
        <w:pStyle w:val="BodyText"/>
      </w:pPr>
      <w:r w:rsidRPr="006156FF">
        <w:rPr>
          <w:rStyle w:val="normaltextrun"/>
          <w:rFonts w:cs="Segoe UI"/>
        </w:rPr>
        <w:t>The table below summarises the rationale and evidence for the strategic objectives aimed at making homelessness not repeated.</w:t>
      </w:r>
    </w:p>
    <w:tbl>
      <w:tblPr>
        <w:tblW w:w="10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116"/>
        <w:gridCol w:w="8082"/>
      </w:tblGrid>
      <w:tr w:rsidR="00764920" w:rsidRPr="006156FF" w14:paraId="46B3D4E1" w14:textId="77777777" w:rsidTr="007F0613">
        <w:trPr>
          <w:trHeight w:val="315"/>
        </w:trPr>
        <w:tc>
          <w:tcPr>
            <w:tcW w:w="2116" w:type="dxa"/>
            <w:shd w:val="clear" w:color="auto" w:fill="FFE6EA" w:themeFill="accent4"/>
            <w:hideMark/>
          </w:tcPr>
          <w:p w14:paraId="3B1215CA" w14:textId="77777777" w:rsidR="00764920" w:rsidRPr="006156FF" w:rsidRDefault="00764920" w:rsidP="00C47FDA">
            <w:pPr>
              <w:suppressAutoHyphens w:val="0"/>
              <w:spacing w:before="120" w:after="120"/>
              <w:textAlignment w:val="baseline"/>
              <w:rPr>
                <w:rFonts w:asciiTheme="minorHAnsi" w:eastAsia="Times New Roman" w:hAnsiTheme="minorHAnsi" w:cs="Segoe UI"/>
                <w:b/>
                <w:bCs/>
                <w:color w:val="auto"/>
                <w:lang w:eastAsia="en-AU"/>
              </w:rPr>
            </w:pPr>
            <w:r w:rsidRPr="006156FF">
              <w:rPr>
                <w:rFonts w:asciiTheme="minorHAnsi" w:eastAsia="Times New Roman" w:hAnsiTheme="minorHAnsi" w:cs="Segoe UI"/>
                <w:b/>
                <w:bCs/>
                <w:color w:val="auto"/>
                <w:lang w:eastAsia="en-AU"/>
              </w:rPr>
              <w:t>Objective </w:t>
            </w:r>
          </w:p>
        </w:tc>
        <w:tc>
          <w:tcPr>
            <w:tcW w:w="8082" w:type="dxa"/>
            <w:shd w:val="clear" w:color="auto" w:fill="FFE6EA" w:themeFill="accent4"/>
            <w:hideMark/>
          </w:tcPr>
          <w:p w14:paraId="3FDAC491" w14:textId="77777777" w:rsidR="00764920" w:rsidRPr="006156FF" w:rsidRDefault="00764920" w:rsidP="00C47FDA">
            <w:pPr>
              <w:suppressAutoHyphens w:val="0"/>
              <w:spacing w:before="120" w:after="120"/>
              <w:textAlignment w:val="baseline"/>
              <w:rPr>
                <w:rFonts w:asciiTheme="minorHAnsi" w:eastAsia="Times New Roman" w:hAnsiTheme="minorHAnsi" w:cs="Segoe UI"/>
                <w:b/>
                <w:bCs/>
                <w:color w:val="auto"/>
                <w:lang w:eastAsia="en-AU"/>
              </w:rPr>
            </w:pPr>
            <w:r w:rsidRPr="006156FF">
              <w:rPr>
                <w:rFonts w:asciiTheme="minorHAnsi" w:eastAsia="Times New Roman" w:hAnsiTheme="minorHAnsi" w:cs="Segoe UI"/>
                <w:b/>
                <w:bCs/>
                <w:color w:val="auto"/>
                <w:lang w:eastAsia="en-AU"/>
              </w:rPr>
              <w:t>Rationale </w:t>
            </w:r>
          </w:p>
        </w:tc>
      </w:tr>
      <w:tr w:rsidR="00AB4E12" w:rsidRPr="006156FF" w14:paraId="2D3B7A8E" w14:textId="77777777" w:rsidTr="007F0613">
        <w:trPr>
          <w:trHeight w:val="330"/>
        </w:trPr>
        <w:tc>
          <w:tcPr>
            <w:tcW w:w="2116" w:type="dxa"/>
            <w:shd w:val="clear" w:color="auto" w:fill="FFFFFF" w:themeFill="background1"/>
            <w:hideMark/>
          </w:tcPr>
          <w:p w14:paraId="55E4B079" w14:textId="0B2A34A3" w:rsidR="00AB4E12" w:rsidRPr="006156FF" w:rsidRDefault="00594222" w:rsidP="00AC61A7">
            <w:pPr>
              <w:suppressAutoHyphens w:val="0"/>
              <w:spacing w:before="120" w:after="120"/>
              <w:textAlignment w:val="baseline"/>
              <w:rPr>
                <w:rFonts w:asciiTheme="minorHAnsi" w:eastAsia="Times New Roman" w:hAnsiTheme="minorHAnsi" w:cs="Segoe UI"/>
                <w:b/>
                <w:bCs/>
                <w:color w:val="auto"/>
                <w:lang w:eastAsia="en-AU"/>
              </w:rPr>
            </w:pPr>
            <w:r>
              <w:rPr>
                <w:rFonts w:asciiTheme="minorHAnsi" w:eastAsia="Times New Roman" w:hAnsiTheme="minorHAnsi" w:cs="Segoe UI"/>
                <w:b/>
                <w:bCs/>
                <w:color w:val="auto"/>
                <w:lang w:eastAsia="en-AU"/>
              </w:rPr>
              <w:t xml:space="preserve">3.1 </w:t>
            </w:r>
            <w:r w:rsidR="00AB4E12" w:rsidRPr="006156FF">
              <w:rPr>
                <w:rFonts w:asciiTheme="minorHAnsi" w:eastAsia="Times New Roman" w:hAnsiTheme="minorHAnsi" w:cs="Segoe UI"/>
                <w:b/>
                <w:bCs/>
                <w:color w:val="auto"/>
                <w:lang w:eastAsia="en-AU"/>
              </w:rPr>
              <w:t xml:space="preserve">People with complex needs </w:t>
            </w:r>
            <w:r w:rsidR="00A330B9" w:rsidRPr="006156FF">
              <w:rPr>
                <w:rFonts w:asciiTheme="minorHAnsi" w:eastAsia="Times New Roman" w:hAnsiTheme="minorHAnsi" w:cs="Segoe UI"/>
                <w:b/>
                <w:bCs/>
                <w:color w:val="auto"/>
                <w:lang w:eastAsia="en-AU"/>
              </w:rPr>
              <w:t xml:space="preserve">can access </w:t>
            </w:r>
            <w:r>
              <w:rPr>
                <w:rFonts w:asciiTheme="minorHAnsi" w:eastAsia="Times New Roman" w:hAnsiTheme="minorHAnsi" w:cs="Segoe UI"/>
                <w:b/>
                <w:bCs/>
                <w:color w:val="auto"/>
                <w:lang w:eastAsia="en-AU"/>
              </w:rPr>
              <w:lastRenderedPageBreak/>
              <w:t>comprehensive</w:t>
            </w:r>
            <w:r w:rsidR="001B44BE">
              <w:rPr>
                <w:rFonts w:asciiTheme="minorHAnsi" w:eastAsia="Times New Roman" w:hAnsiTheme="minorHAnsi" w:cs="Segoe UI"/>
                <w:b/>
                <w:bCs/>
                <w:color w:val="auto"/>
                <w:lang w:eastAsia="en-AU"/>
              </w:rPr>
              <w:t>, longer-term support</w:t>
            </w:r>
            <w:r w:rsidR="00A330B9" w:rsidRPr="006156FF">
              <w:rPr>
                <w:rFonts w:asciiTheme="minorHAnsi" w:eastAsia="Times New Roman" w:hAnsiTheme="minorHAnsi" w:cs="Segoe UI"/>
                <w:b/>
                <w:bCs/>
                <w:color w:val="auto"/>
                <w:lang w:eastAsia="en-AU"/>
              </w:rPr>
              <w:t xml:space="preserve"> </w:t>
            </w:r>
            <w:r w:rsidR="001B44BE">
              <w:rPr>
                <w:rFonts w:asciiTheme="minorHAnsi" w:eastAsia="Times New Roman" w:hAnsiTheme="minorHAnsi" w:cs="Segoe UI"/>
                <w:b/>
                <w:bCs/>
                <w:color w:val="auto"/>
                <w:lang w:eastAsia="en-AU"/>
              </w:rPr>
              <w:t>so they do not experience repeat homel</w:t>
            </w:r>
            <w:r w:rsidR="00881C84">
              <w:rPr>
                <w:rFonts w:asciiTheme="minorHAnsi" w:eastAsia="Times New Roman" w:hAnsiTheme="minorHAnsi" w:cs="Segoe UI"/>
                <w:b/>
                <w:bCs/>
                <w:color w:val="auto"/>
                <w:lang w:eastAsia="en-AU"/>
              </w:rPr>
              <w:t>e</w:t>
            </w:r>
            <w:r w:rsidR="001B44BE">
              <w:rPr>
                <w:rFonts w:asciiTheme="minorHAnsi" w:eastAsia="Times New Roman" w:hAnsiTheme="minorHAnsi" w:cs="Segoe UI"/>
                <w:b/>
                <w:bCs/>
                <w:color w:val="auto"/>
                <w:lang w:eastAsia="en-AU"/>
              </w:rPr>
              <w:t>ssness</w:t>
            </w:r>
          </w:p>
        </w:tc>
        <w:tc>
          <w:tcPr>
            <w:tcW w:w="8082" w:type="dxa"/>
            <w:shd w:val="clear" w:color="auto" w:fill="auto"/>
            <w:hideMark/>
          </w:tcPr>
          <w:p w14:paraId="046A34F1" w14:textId="2C9CDBA5" w:rsidR="00512F11" w:rsidRPr="0064477A" w:rsidRDefault="00512F11" w:rsidP="00F403FB">
            <w:pPr>
              <w:pStyle w:val="ListParagraph"/>
              <w:numPr>
                <w:ilvl w:val="0"/>
                <w:numId w:val="61"/>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sidRPr="0064477A">
              <w:rPr>
                <w:rFonts w:asciiTheme="minorHAnsi" w:eastAsia="Times New Roman" w:hAnsiTheme="minorHAnsi" w:cs="Segoe UI"/>
                <w:color w:val="000000"/>
                <w:lang w:eastAsia="en-AU"/>
              </w:rPr>
              <w:lastRenderedPageBreak/>
              <w:t xml:space="preserve">AHURI </w:t>
            </w:r>
            <w:r w:rsidR="00584105">
              <w:rPr>
                <w:rFonts w:asciiTheme="minorHAnsi" w:eastAsia="Times New Roman" w:hAnsiTheme="minorHAnsi" w:cs="Segoe UI"/>
                <w:color w:val="000000"/>
                <w:lang w:eastAsia="en-AU"/>
              </w:rPr>
              <w:t xml:space="preserve">(202) considered the </w:t>
            </w:r>
            <w:r w:rsidRPr="0064477A">
              <w:rPr>
                <w:rFonts w:asciiTheme="minorHAnsi" w:eastAsia="Times New Roman" w:hAnsiTheme="minorHAnsi" w:cs="Segoe UI"/>
                <w:color w:val="000000"/>
                <w:lang w:eastAsia="en-AU"/>
              </w:rPr>
              <w:t xml:space="preserve">interplay between housing and mental health pathways </w:t>
            </w:r>
            <w:r w:rsidR="00584105">
              <w:rPr>
                <w:rFonts w:asciiTheme="minorHAnsi" w:eastAsia="Times New Roman" w:hAnsiTheme="minorHAnsi" w:cs="Segoe UI"/>
                <w:color w:val="000000"/>
                <w:lang w:eastAsia="en-AU"/>
              </w:rPr>
              <w:t xml:space="preserve">and </w:t>
            </w:r>
            <w:r w:rsidRPr="0064477A">
              <w:rPr>
                <w:rFonts w:asciiTheme="minorHAnsi" w:eastAsia="Times New Roman" w:hAnsiTheme="minorHAnsi" w:cs="Segoe UI"/>
                <w:color w:val="000000"/>
                <w:lang w:eastAsia="en-AU"/>
              </w:rPr>
              <w:t xml:space="preserve">found that to be effective </w:t>
            </w:r>
            <w:r w:rsidR="00584105">
              <w:rPr>
                <w:rFonts w:asciiTheme="minorHAnsi" w:eastAsia="Times New Roman" w:hAnsiTheme="minorHAnsi" w:cs="Segoe UI"/>
                <w:color w:val="000000"/>
                <w:lang w:eastAsia="en-AU"/>
              </w:rPr>
              <w:t>‘</w:t>
            </w:r>
            <w:r w:rsidRPr="0064477A">
              <w:rPr>
                <w:rFonts w:asciiTheme="minorHAnsi" w:eastAsia="Times New Roman" w:hAnsiTheme="minorHAnsi" w:cs="Segoe UI"/>
                <w:color w:val="000000"/>
                <w:lang w:eastAsia="en-AU"/>
              </w:rPr>
              <w:t xml:space="preserve">policy responses should strive for integration across the housing and mental health systems; increase the use of </w:t>
            </w:r>
            <w:r w:rsidRPr="0064477A">
              <w:rPr>
                <w:rFonts w:asciiTheme="minorHAnsi" w:eastAsia="Times New Roman" w:hAnsiTheme="minorHAnsi" w:cs="Segoe UI"/>
                <w:color w:val="000000"/>
                <w:lang w:eastAsia="en-AU"/>
              </w:rPr>
              <w:lastRenderedPageBreak/>
              <w:t>health and mental health services by people experiencing mental ill-health and implement authentic person-centred approaches that integrate mental health, physical health and social support across the life course</w:t>
            </w:r>
            <w:r w:rsidR="00584105">
              <w:rPr>
                <w:rFonts w:asciiTheme="minorHAnsi" w:eastAsia="Times New Roman" w:hAnsiTheme="minorHAnsi" w:cs="Segoe UI"/>
                <w:color w:val="000000"/>
                <w:lang w:eastAsia="en-AU"/>
              </w:rPr>
              <w:t>’</w:t>
            </w:r>
            <w:r w:rsidR="00D72C4E">
              <w:rPr>
                <w:rStyle w:val="EndnoteReference"/>
                <w:rFonts w:asciiTheme="minorHAnsi" w:eastAsia="Times New Roman" w:hAnsiTheme="minorHAnsi" w:cs="Segoe UI"/>
                <w:color w:val="000000"/>
                <w:lang w:eastAsia="en-AU"/>
              </w:rPr>
              <w:endnoteReference w:id="40"/>
            </w:r>
            <w:r w:rsidRPr="0064477A">
              <w:rPr>
                <w:rFonts w:asciiTheme="minorHAnsi" w:eastAsia="Times New Roman" w:hAnsiTheme="minorHAnsi" w:cs="Segoe UI"/>
                <w:color w:val="000000"/>
                <w:lang w:eastAsia="en-AU"/>
              </w:rPr>
              <w:t>.</w:t>
            </w:r>
            <w:r w:rsidR="0064477A" w:rsidRPr="0064477A">
              <w:rPr>
                <w:rFonts w:asciiTheme="minorHAnsi" w:eastAsia="Times New Roman" w:hAnsiTheme="minorHAnsi" w:cs="Segoe UI"/>
                <w:color w:val="000000"/>
                <w:lang w:eastAsia="en-AU"/>
              </w:rPr>
              <w:t xml:space="preserve"> </w:t>
            </w:r>
            <w:r w:rsidRPr="0064477A">
              <w:rPr>
                <w:rFonts w:asciiTheme="minorHAnsi" w:eastAsia="Times New Roman" w:hAnsiTheme="minorHAnsi" w:cs="Segoe UI"/>
                <w:color w:val="000000"/>
                <w:lang w:eastAsia="en-AU"/>
              </w:rPr>
              <w:t xml:space="preserve">Treating homelessness as a combined health and social issue </w:t>
            </w:r>
            <w:r w:rsidR="00584105">
              <w:rPr>
                <w:rFonts w:asciiTheme="minorHAnsi" w:eastAsia="Times New Roman" w:hAnsiTheme="minorHAnsi" w:cs="Segoe UI"/>
                <w:color w:val="000000"/>
                <w:lang w:eastAsia="en-AU"/>
              </w:rPr>
              <w:t>‘</w:t>
            </w:r>
            <w:r w:rsidRPr="0064477A">
              <w:rPr>
                <w:rFonts w:asciiTheme="minorHAnsi" w:eastAsia="Times New Roman" w:hAnsiTheme="minorHAnsi" w:cs="Segoe UI"/>
                <w:color w:val="000000"/>
                <w:lang w:eastAsia="en-AU"/>
              </w:rPr>
              <w:t>is critical to improving the abysmal health outcomes of people experiencing homelessness. In addition, the enormous economic costs of hospital care for people who are homeless can be reduced when housing and other social determinants are taken into account</w:t>
            </w:r>
            <w:r w:rsidR="0064477A">
              <w:rPr>
                <w:rFonts w:asciiTheme="minorHAnsi" w:eastAsia="Times New Roman" w:hAnsiTheme="minorHAnsi" w:cs="Segoe UI"/>
                <w:color w:val="000000"/>
                <w:lang w:eastAsia="en-AU"/>
              </w:rPr>
              <w:t>’</w:t>
            </w:r>
            <w:r w:rsidR="00D72C4E" w:rsidRPr="00875BD9">
              <w:rPr>
                <w:color w:val="auto"/>
                <w:vertAlign w:val="superscript"/>
              </w:rPr>
              <w:endnoteReference w:id="41"/>
            </w:r>
            <w:r w:rsidRPr="0064477A">
              <w:rPr>
                <w:rFonts w:asciiTheme="minorHAnsi" w:eastAsia="Times New Roman" w:hAnsiTheme="minorHAnsi" w:cs="Segoe UI"/>
                <w:color w:val="000000"/>
                <w:lang w:eastAsia="en-AU"/>
              </w:rPr>
              <w:t>.</w:t>
            </w:r>
          </w:p>
          <w:p w14:paraId="4152F7C9" w14:textId="7FBB4387" w:rsidR="00AB4E12" w:rsidRPr="00AC61A7" w:rsidRDefault="00AB4E12" w:rsidP="00B13429">
            <w:pPr>
              <w:pStyle w:val="ListParagraph"/>
              <w:numPr>
                <w:ilvl w:val="0"/>
                <w:numId w:val="61"/>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sidRPr="00AC61A7">
              <w:rPr>
                <w:rFonts w:asciiTheme="minorHAnsi" w:eastAsia="Times New Roman" w:hAnsiTheme="minorHAnsi" w:cs="Segoe UI"/>
                <w:color w:val="auto"/>
                <w:lang w:eastAsia="en-AU"/>
              </w:rPr>
              <w:t>Housing First models such as Common Ground have a high effectiveness in supporting people with complex needs to access and sustain housing. A 2015 evaluation of Common Ground in Camperdown found that 63 per cent of formerly homeless clients remained housed in Common Ground for at least 28 months</w:t>
            </w:r>
            <w:r w:rsidRPr="006156FF">
              <w:rPr>
                <w:rStyle w:val="EndnoteReference"/>
                <w:rFonts w:asciiTheme="minorHAnsi" w:eastAsia="Times New Roman" w:hAnsiTheme="minorHAnsi" w:cs="Segoe UI"/>
                <w:color w:val="auto"/>
                <w:lang w:eastAsia="en-AU"/>
              </w:rPr>
              <w:endnoteReference w:id="42"/>
            </w:r>
            <w:r w:rsidR="00106698" w:rsidRPr="00AC61A7">
              <w:rPr>
                <w:rFonts w:asciiTheme="minorHAnsi" w:eastAsia="Times New Roman" w:hAnsiTheme="minorHAnsi" w:cs="Segoe UI"/>
                <w:color w:val="auto"/>
                <w:lang w:eastAsia="en-AU"/>
              </w:rPr>
              <w:t>.</w:t>
            </w:r>
            <w:r w:rsidRPr="00AC61A7">
              <w:rPr>
                <w:rFonts w:asciiTheme="minorHAnsi" w:eastAsia="Times New Roman" w:hAnsiTheme="minorHAnsi" w:cs="Segoe UI"/>
                <w:color w:val="auto"/>
                <w:lang w:eastAsia="en-AU"/>
              </w:rPr>
              <w:t> </w:t>
            </w:r>
          </w:p>
          <w:p w14:paraId="5E80FE6B" w14:textId="7B11D153" w:rsidR="00533757" w:rsidRPr="00AC61A7" w:rsidRDefault="00533757" w:rsidP="00B13429">
            <w:pPr>
              <w:pStyle w:val="ListParagraph"/>
              <w:numPr>
                <w:ilvl w:val="0"/>
                <w:numId w:val="61"/>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sidRPr="00AC61A7">
              <w:rPr>
                <w:rFonts w:asciiTheme="minorHAnsi" w:eastAsia="Times New Roman" w:hAnsiTheme="minorHAnsi" w:cs="Segoe UI"/>
                <w:color w:val="auto"/>
                <w:lang w:eastAsia="en-AU"/>
              </w:rPr>
              <w:t xml:space="preserve">Evaluations of programs to support people living in social housing to sustain their tenancies, such as the Sustaining Tenancies in Social Housing (STSH) program, indicate that 98 per cent of clients remain in their tenancy at the end of the support period. </w:t>
            </w:r>
            <w:r w:rsidR="004255B6">
              <w:rPr>
                <w:rFonts w:asciiTheme="minorHAnsi" w:eastAsia="Times New Roman" w:hAnsiTheme="minorHAnsi" w:cs="Segoe UI"/>
                <w:color w:val="auto"/>
                <w:lang w:eastAsia="en-AU"/>
              </w:rPr>
              <w:t>Evaluation</w:t>
            </w:r>
            <w:r w:rsidRPr="00AC61A7">
              <w:rPr>
                <w:rFonts w:asciiTheme="minorHAnsi" w:eastAsia="Times New Roman" w:hAnsiTheme="minorHAnsi" w:cs="Segoe UI"/>
                <w:color w:val="auto"/>
                <w:lang w:eastAsia="en-AU"/>
              </w:rPr>
              <w:t xml:space="preserve"> data suggests that negative exits from social housing decreased by up 25 per cent because of STSH efforts.  </w:t>
            </w:r>
          </w:p>
          <w:p w14:paraId="3F316543" w14:textId="2F76A971" w:rsidR="00D06540" w:rsidRDefault="00AC61A7" w:rsidP="00B13429">
            <w:pPr>
              <w:pStyle w:val="BodyText"/>
              <w:numPr>
                <w:ilvl w:val="0"/>
                <w:numId w:val="61"/>
              </w:numPr>
              <w:ind w:left="453" w:hanging="357"/>
              <w:rPr>
                <w:rFonts w:eastAsia="Times New Roman" w:cs="Segoe UI"/>
                <w:color w:val="auto"/>
                <w:lang w:eastAsia="en-AU"/>
              </w:rPr>
            </w:pPr>
            <w:r>
              <w:rPr>
                <w:rFonts w:eastAsia="Times New Roman" w:cs="Segoe UI"/>
                <w:color w:val="auto"/>
                <w:sz w:val="20"/>
                <w:szCs w:val="20"/>
                <w:lang w:val="en-GB" w:eastAsia="en-AU"/>
              </w:rPr>
              <w:t xml:space="preserve"> </w:t>
            </w:r>
            <w:r>
              <w:rPr>
                <w:rFonts w:eastAsia="Times New Roman" w:cs="Segoe UI"/>
                <w:lang w:val="en-GB" w:eastAsia="en-AU"/>
              </w:rPr>
              <w:t xml:space="preserve"> </w:t>
            </w:r>
            <w:r w:rsidR="00D06540" w:rsidRPr="00442753">
              <w:rPr>
                <w:rFonts w:eastAsia="Times New Roman" w:cs="Segoe UI"/>
                <w:color w:val="auto"/>
                <w:sz w:val="20"/>
                <w:szCs w:val="20"/>
                <w:lang w:val="en-GB" w:eastAsia="en-AU"/>
              </w:rPr>
              <w:t>Across the literature, cross-sectoral collaboration and integration is identified as a critical component of effective service provision for these at-risk cohorts</w:t>
            </w:r>
            <w:r w:rsidR="00D06540" w:rsidRPr="00442753">
              <w:rPr>
                <w:rFonts w:eastAsia="Times New Roman" w:cs="Segoe UI"/>
                <w:color w:val="auto"/>
                <w:sz w:val="20"/>
                <w:szCs w:val="20"/>
                <w:vertAlign w:val="superscript"/>
                <w:lang w:eastAsia="en-AU"/>
              </w:rPr>
              <w:t xml:space="preserve"> </w:t>
            </w:r>
            <w:r w:rsidR="00D06540" w:rsidRPr="00442753">
              <w:rPr>
                <w:rFonts w:eastAsia="Times New Roman" w:cs="Segoe UI"/>
                <w:color w:val="auto"/>
                <w:sz w:val="20"/>
                <w:szCs w:val="20"/>
                <w:vertAlign w:val="superscript"/>
                <w:lang w:eastAsia="en-AU"/>
              </w:rPr>
              <w:endnoteReference w:id="43"/>
            </w:r>
            <w:r w:rsidR="00D06540" w:rsidRPr="00442753">
              <w:rPr>
                <w:rFonts w:eastAsia="Times New Roman" w:cs="Segoe UI"/>
                <w:color w:val="auto"/>
                <w:sz w:val="20"/>
                <w:szCs w:val="20"/>
                <w:vertAlign w:val="superscript"/>
                <w:lang w:eastAsia="en-AU"/>
              </w:rPr>
              <w:t xml:space="preserve"> </w:t>
            </w:r>
            <w:r w:rsidR="00D06540" w:rsidRPr="00442753">
              <w:rPr>
                <w:rStyle w:val="EndnoteReference"/>
                <w:rFonts w:eastAsia="Times New Roman" w:cs="Segoe UI"/>
                <w:color w:val="auto"/>
                <w:sz w:val="20"/>
                <w:szCs w:val="20"/>
                <w:lang w:eastAsia="en-AU"/>
              </w:rPr>
              <w:endnoteReference w:id="44"/>
            </w:r>
            <w:r w:rsidR="00D06540" w:rsidRPr="00442753">
              <w:rPr>
                <w:rFonts w:eastAsia="Times New Roman" w:cs="Segoe UI"/>
                <w:color w:val="auto"/>
                <w:sz w:val="20"/>
                <w:szCs w:val="20"/>
                <w:lang w:val="en-GB" w:eastAsia="en-AU"/>
              </w:rPr>
              <w:t xml:space="preserve">. Long-term collaborative case management is important to effectively respond to their often multiple and complex needs. For example, the Home and Healthy in-reach and assertive outreach models were effective in creating synergies between NSW Health and service provider staff </w:t>
            </w:r>
            <w:r w:rsidR="006A363B">
              <w:rPr>
                <w:rFonts w:eastAsia="Times New Roman" w:cs="Segoe UI"/>
                <w:color w:val="auto"/>
                <w:sz w:val="20"/>
                <w:szCs w:val="20"/>
                <w:lang w:val="en-GB" w:eastAsia="en-AU"/>
              </w:rPr>
              <w:t>t</w:t>
            </w:r>
            <w:r w:rsidR="006A363B">
              <w:rPr>
                <w:rFonts w:eastAsia="Times New Roman" w:cs="Segoe UI"/>
                <w:color w:val="auto"/>
                <w:sz w:val="20"/>
                <w:lang w:val="en-GB" w:eastAsia="en-AU"/>
              </w:rPr>
              <w:t>o</w:t>
            </w:r>
            <w:r w:rsidR="00D06540" w:rsidRPr="00442753">
              <w:rPr>
                <w:rFonts w:eastAsia="Times New Roman" w:cs="Segoe UI"/>
                <w:color w:val="auto"/>
                <w:sz w:val="20"/>
                <w:szCs w:val="20"/>
                <w:lang w:val="en-GB" w:eastAsia="en-AU"/>
              </w:rPr>
              <w:t xml:space="preserve"> allow vulnerable people in health settings to be quickly intercepted and diverted from homelessness</w:t>
            </w:r>
            <w:r w:rsidR="00D06540" w:rsidRPr="00442753">
              <w:rPr>
                <w:rFonts w:eastAsia="Times New Roman" w:cs="Segoe UI"/>
                <w:color w:val="auto"/>
                <w:sz w:val="20"/>
                <w:szCs w:val="20"/>
                <w:vertAlign w:val="superscript"/>
                <w:lang w:val="en-GB" w:eastAsia="en-AU"/>
              </w:rPr>
              <w:endnoteReference w:id="45"/>
            </w:r>
            <w:r w:rsidR="00D06540" w:rsidRPr="00442753">
              <w:rPr>
                <w:rFonts w:eastAsia="Times New Roman" w:cs="Segoe UI"/>
                <w:color w:val="auto"/>
                <w:sz w:val="20"/>
                <w:szCs w:val="20"/>
                <w:lang w:val="en-GB" w:eastAsia="en-AU"/>
              </w:rPr>
              <w:t>.</w:t>
            </w:r>
            <w:r w:rsidR="00D06540" w:rsidRPr="006156FF">
              <w:rPr>
                <w:rFonts w:eastAsia="Times New Roman" w:cs="Segoe UI"/>
                <w:color w:val="auto"/>
                <w:lang w:eastAsia="en-AU"/>
              </w:rPr>
              <w:t> </w:t>
            </w:r>
          </w:p>
          <w:p w14:paraId="74A62D47" w14:textId="77777777" w:rsidR="00435056" w:rsidRPr="00BA41A5" w:rsidRDefault="00435056" w:rsidP="00435056">
            <w:pPr>
              <w:suppressAutoHyphens w:val="0"/>
              <w:spacing w:before="120" w:after="120"/>
              <w:textAlignment w:val="baseline"/>
              <w:rPr>
                <w:rFonts w:asciiTheme="minorHAnsi" w:eastAsia="Times New Roman" w:hAnsiTheme="minorHAnsi" w:cs="Segoe UI"/>
                <w:b/>
                <w:bCs/>
                <w:color w:val="auto"/>
                <w:lang w:eastAsia="en-AU"/>
              </w:rPr>
            </w:pPr>
            <w:r w:rsidRPr="00BA41A5">
              <w:rPr>
                <w:rFonts w:asciiTheme="minorHAnsi" w:eastAsia="Times New Roman" w:hAnsiTheme="minorHAnsi" w:cs="Segoe UI"/>
                <w:b/>
                <w:bCs/>
                <w:color w:val="auto"/>
                <w:lang w:eastAsia="en-AU"/>
              </w:rPr>
              <w:t>Assertive Outreach</w:t>
            </w:r>
          </w:p>
          <w:p w14:paraId="6D115D15" w14:textId="3C07E82F" w:rsidR="00435056" w:rsidRPr="00AC61A7" w:rsidRDefault="00435056" w:rsidP="00B13429">
            <w:pPr>
              <w:pStyle w:val="ListParagraph"/>
              <w:numPr>
                <w:ilvl w:val="0"/>
                <w:numId w:val="62"/>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sidRPr="00AC61A7">
              <w:rPr>
                <w:rFonts w:asciiTheme="minorHAnsi" w:eastAsia="Times New Roman" w:hAnsiTheme="minorHAnsi" w:cs="Segoe UI"/>
                <w:color w:val="auto"/>
                <w:lang w:eastAsia="en-AU"/>
              </w:rPr>
              <w:t xml:space="preserve">Assertive outreach is the dominant model used to engage people sleeping rough in Australia, UK, US and Canada. While there is limited rigorous evidence on </w:t>
            </w:r>
            <w:r w:rsidR="006A363B">
              <w:rPr>
                <w:rFonts w:asciiTheme="minorHAnsi" w:eastAsia="Times New Roman" w:hAnsiTheme="minorHAnsi" w:cs="Segoe UI"/>
                <w:color w:val="auto"/>
                <w:lang w:eastAsia="en-AU"/>
              </w:rPr>
              <w:t>its</w:t>
            </w:r>
            <w:r w:rsidRPr="00AC61A7">
              <w:rPr>
                <w:rFonts w:asciiTheme="minorHAnsi" w:eastAsia="Times New Roman" w:hAnsiTheme="minorHAnsi" w:cs="Segoe UI"/>
                <w:color w:val="auto"/>
                <w:lang w:eastAsia="en-AU"/>
              </w:rPr>
              <w:t xml:space="preserve"> effectiveness, there are a small number of low rigour studies that can offer useful insights about this model. A 2023 mixed methods evaluation of the assertive outreach pilot in Newcastle and Tweed Heads between September 2019 and June 2023 showed that the model was effective in improving the likelihood that clients were placed in social housing within the follow-up period</w:t>
            </w:r>
            <w:r w:rsidRPr="006156FF">
              <w:rPr>
                <w:rStyle w:val="EndnoteReference"/>
                <w:rFonts w:asciiTheme="minorHAnsi" w:eastAsia="Times New Roman" w:hAnsiTheme="minorHAnsi" w:cs="Segoe UI"/>
                <w:color w:val="auto"/>
                <w:lang w:eastAsia="en-AU"/>
              </w:rPr>
              <w:endnoteReference w:id="46"/>
            </w:r>
            <w:r w:rsidRPr="00AC61A7">
              <w:rPr>
                <w:rFonts w:asciiTheme="minorHAnsi" w:eastAsia="Times New Roman" w:hAnsiTheme="minorHAnsi" w:cs="Segoe UI"/>
                <w:color w:val="auto"/>
                <w:lang w:eastAsia="en-AU"/>
              </w:rPr>
              <w:t>.</w:t>
            </w:r>
          </w:p>
          <w:p w14:paraId="26F8AE17" w14:textId="77777777" w:rsidR="00AB4E12" w:rsidRPr="006156FF" w:rsidRDefault="00AB4E12" w:rsidP="00C47FDA">
            <w:pPr>
              <w:pStyle w:val="BodyText"/>
              <w:rPr>
                <w:sz w:val="20"/>
                <w:szCs w:val="20"/>
                <w:lang w:eastAsia="en-AU"/>
              </w:rPr>
            </w:pPr>
          </w:p>
        </w:tc>
      </w:tr>
      <w:tr w:rsidR="002E6118" w:rsidRPr="006156FF" w14:paraId="372107B2" w14:textId="77777777" w:rsidTr="007F0613">
        <w:trPr>
          <w:trHeight w:val="330"/>
        </w:trPr>
        <w:tc>
          <w:tcPr>
            <w:tcW w:w="2116" w:type="dxa"/>
            <w:shd w:val="clear" w:color="auto" w:fill="FFFFFF" w:themeFill="background1"/>
          </w:tcPr>
          <w:p w14:paraId="2333B9CA" w14:textId="69AF4945" w:rsidR="002E6118" w:rsidRDefault="000B4831" w:rsidP="00AC61A7">
            <w:pPr>
              <w:suppressAutoHyphens w:val="0"/>
              <w:spacing w:before="120" w:after="120"/>
              <w:textAlignment w:val="baseline"/>
              <w:rPr>
                <w:rFonts w:asciiTheme="minorHAnsi" w:eastAsia="Times New Roman" w:hAnsiTheme="minorHAnsi" w:cs="Segoe UI"/>
                <w:b/>
                <w:bCs/>
                <w:color w:val="auto"/>
                <w:lang w:eastAsia="en-AU"/>
              </w:rPr>
            </w:pPr>
            <w:r>
              <w:rPr>
                <w:rFonts w:asciiTheme="minorHAnsi" w:eastAsia="Times New Roman" w:hAnsiTheme="minorHAnsi" w:cs="Segoe UI"/>
                <w:b/>
                <w:bCs/>
                <w:color w:val="auto"/>
                <w:lang w:eastAsia="en-AU"/>
              </w:rPr>
              <w:lastRenderedPageBreak/>
              <w:t xml:space="preserve">3.2 People have strong </w:t>
            </w:r>
            <w:r w:rsidR="00D530F6">
              <w:rPr>
                <w:rFonts w:asciiTheme="minorHAnsi" w:eastAsia="Times New Roman" w:hAnsiTheme="minorHAnsi" w:cs="Segoe UI"/>
                <w:b/>
                <w:bCs/>
                <w:color w:val="auto"/>
                <w:lang w:eastAsia="en-AU"/>
              </w:rPr>
              <w:t>connections</w:t>
            </w:r>
            <w:r>
              <w:rPr>
                <w:rFonts w:asciiTheme="minorHAnsi" w:eastAsia="Times New Roman" w:hAnsiTheme="minorHAnsi" w:cs="Segoe UI"/>
                <w:b/>
                <w:bCs/>
                <w:color w:val="auto"/>
                <w:lang w:eastAsia="en-AU"/>
              </w:rPr>
              <w:t xml:space="preserve"> to their community that protect against repeat </w:t>
            </w:r>
            <w:r w:rsidR="00D530F6">
              <w:rPr>
                <w:rFonts w:asciiTheme="minorHAnsi" w:eastAsia="Times New Roman" w:hAnsiTheme="minorHAnsi" w:cs="Segoe UI"/>
                <w:b/>
                <w:bCs/>
                <w:color w:val="auto"/>
                <w:lang w:eastAsia="en-AU"/>
              </w:rPr>
              <w:t>homelessness</w:t>
            </w:r>
          </w:p>
        </w:tc>
        <w:tc>
          <w:tcPr>
            <w:tcW w:w="8082" w:type="dxa"/>
            <w:shd w:val="clear" w:color="auto" w:fill="auto"/>
          </w:tcPr>
          <w:p w14:paraId="12879752" w14:textId="77777777" w:rsidR="006A363B" w:rsidRPr="006A363B" w:rsidRDefault="006A363B" w:rsidP="00EC5E10">
            <w:pPr>
              <w:pStyle w:val="ListParagraph"/>
              <w:numPr>
                <w:ilvl w:val="0"/>
                <w:numId w:val="62"/>
              </w:numPr>
              <w:suppressAutoHyphens w:val="0"/>
              <w:spacing w:before="120" w:after="120"/>
              <w:ind w:left="453" w:hanging="357"/>
              <w:contextualSpacing w:val="0"/>
              <w:textAlignment w:val="baseline"/>
              <w:rPr>
                <w:rFonts w:asciiTheme="minorHAnsi" w:hAnsiTheme="minorHAnsi"/>
                <w:lang w:eastAsia="en-AU"/>
              </w:rPr>
            </w:pPr>
            <w:r>
              <w:rPr>
                <w:rFonts w:asciiTheme="minorHAnsi" w:eastAsia="Times New Roman" w:hAnsiTheme="minorHAnsi" w:cs="Segoe UI"/>
                <w:color w:val="auto"/>
                <w:lang w:eastAsia="en-AU"/>
              </w:rPr>
              <w:t xml:space="preserve">Plett et al (2024) </w:t>
            </w:r>
            <w:r w:rsidR="004B0625" w:rsidRPr="00EC5E10">
              <w:rPr>
                <w:rFonts w:asciiTheme="minorHAnsi" w:eastAsia="Times New Roman" w:hAnsiTheme="minorHAnsi" w:cs="Segoe UI"/>
                <w:color w:val="auto"/>
                <w:lang w:eastAsia="en-AU"/>
              </w:rPr>
              <w:t>found</w:t>
            </w:r>
            <w:r w:rsidR="001B0B97" w:rsidRPr="00EC5E10">
              <w:rPr>
                <w:rFonts w:asciiTheme="minorHAnsi" w:eastAsia="Times New Roman" w:hAnsiTheme="minorHAnsi" w:cs="Segoe UI"/>
                <w:color w:val="auto"/>
                <w:lang w:eastAsia="en-AU"/>
              </w:rPr>
              <w:t xml:space="preserve"> that </w:t>
            </w:r>
            <w:r w:rsidR="0064477A">
              <w:rPr>
                <w:rFonts w:asciiTheme="minorHAnsi" w:eastAsia="Times New Roman" w:hAnsiTheme="minorHAnsi" w:cs="Segoe UI"/>
                <w:color w:val="auto"/>
                <w:lang w:eastAsia="en-AU"/>
              </w:rPr>
              <w:t>‘</w:t>
            </w:r>
            <w:r w:rsidR="001B0B97" w:rsidRPr="00EC5E10">
              <w:rPr>
                <w:rFonts w:asciiTheme="minorHAnsi" w:eastAsia="Times New Roman" w:hAnsiTheme="minorHAnsi" w:cs="Segoe UI"/>
                <w:color w:val="auto"/>
                <w:lang w:eastAsia="en-AU"/>
              </w:rPr>
              <w:t xml:space="preserve">poverty influences one’s ability to participate in meaningful activity following homelessness and, in turn, their opportunities for belonging in their communities. Being limited in this way prevents one from building social capital that can support thriving following homelessness. </w:t>
            </w:r>
            <w:r w:rsidR="005A182A" w:rsidRPr="00EC5E10">
              <w:rPr>
                <w:rFonts w:asciiTheme="minorHAnsi" w:eastAsia="Times New Roman" w:hAnsiTheme="minorHAnsi" w:cs="Segoe UI"/>
                <w:color w:val="auto"/>
                <w:lang w:eastAsia="en-AU"/>
              </w:rPr>
              <w:t>…</w:t>
            </w:r>
          </w:p>
          <w:p w14:paraId="69ADCF99" w14:textId="77777777" w:rsidR="006A363B" w:rsidRPr="006A363B" w:rsidRDefault="001B0B97" w:rsidP="006A363B">
            <w:pPr>
              <w:pStyle w:val="ListParagraph"/>
              <w:numPr>
                <w:ilvl w:val="1"/>
                <w:numId w:val="63"/>
              </w:numPr>
              <w:suppressAutoHyphens w:val="0"/>
              <w:spacing w:before="120" w:after="120"/>
              <w:ind w:left="720" w:hanging="283"/>
              <w:contextualSpacing w:val="0"/>
              <w:textAlignment w:val="baseline"/>
              <w:rPr>
                <w:rFonts w:asciiTheme="minorHAnsi" w:hAnsiTheme="minorHAnsi"/>
                <w:color w:val="22272B" w:themeColor="text1"/>
                <w:lang w:eastAsia="en-AU"/>
              </w:rPr>
            </w:pPr>
            <w:r w:rsidRPr="006A363B">
              <w:rPr>
                <w:rFonts w:asciiTheme="minorHAnsi" w:eastAsia="Times New Roman" w:hAnsiTheme="minorHAnsi" w:cs="Segoe UI"/>
                <w:color w:val="22272B" w:themeColor="text1"/>
                <w:lang w:eastAsia="en-AU"/>
              </w:rPr>
              <w:t>Engaging in meaningful activities was a facilitator in developing a sense of belonging. There were three ways in which participants experienced belonging: through spending time with others who care, engaging in activities that help individuals feel like they are part of society, and interacting with the surrounding living world, such as pets and nature</w:t>
            </w:r>
          </w:p>
          <w:p w14:paraId="126B3D72" w14:textId="77B8053C" w:rsidR="001B0B97" w:rsidRPr="00EC5E10" w:rsidRDefault="001B0B97" w:rsidP="006A363B">
            <w:pPr>
              <w:pStyle w:val="ListParagraph"/>
              <w:numPr>
                <w:ilvl w:val="1"/>
                <w:numId w:val="63"/>
              </w:numPr>
              <w:suppressAutoHyphens w:val="0"/>
              <w:spacing w:before="120" w:after="120"/>
              <w:ind w:left="720" w:hanging="283"/>
              <w:contextualSpacing w:val="0"/>
              <w:textAlignment w:val="baseline"/>
              <w:rPr>
                <w:rFonts w:asciiTheme="minorHAnsi" w:hAnsiTheme="minorHAnsi"/>
                <w:lang w:eastAsia="en-AU"/>
              </w:rPr>
            </w:pPr>
            <w:r w:rsidRPr="006A363B">
              <w:rPr>
                <w:rFonts w:asciiTheme="minorHAnsi" w:eastAsia="Times New Roman" w:hAnsiTheme="minorHAnsi" w:cs="Segoe UI"/>
                <w:color w:val="22272B" w:themeColor="text1"/>
                <w:lang w:eastAsia="en-AU"/>
              </w:rPr>
              <w:t>Researchers, practitioners, and policymakers should recognize the critical importance of belonging in supporting thriving and preventing ongoing homelessness in future research, and the ways in which contextual factors mitigate this experience</w:t>
            </w:r>
            <w:r w:rsidR="0064477A" w:rsidRPr="006A363B">
              <w:rPr>
                <w:rFonts w:asciiTheme="minorHAnsi" w:eastAsia="Times New Roman" w:hAnsiTheme="minorHAnsi" w:cs="Segoe UI"/>
                <w:color w:val="22272B" w:themeColor="text1"/>
                <w:lang w:eastAsia="en-AU"/>
              </w:rPr>
              <w:t>’</w:t>
            </w:r>
            <w:r w:rsidR="005A2C8C" w:rsidRPr="006A363B">
              <w:rPr>
                <w:rFonts w:eastAsia="Times New Roman" w:cs="Segoe UI"/>
                <w:color w:val="22272B" w:themeColor="text1"/>
                <w:vertAlign w:val="superscript"/>
                <w:lang w:eastAsia="en-AU"/>
              </w:rPr>
              <w:endnoteReference w:id="47"/>
            </w:r>
            <w:r w:rsidR="0064477A" w:rsidRPr="006A363B">
              <w:rPr>
                <w:rFonts w:asciiTheme="minorHAnsi" w:eastAsia="Times New Roman" w:hAnsiTheme="minorHAnsi" w:cs="Segoe UI"/>
                <w:color w:val="22272B" w:themeColor="text1"/>
                <w:lang w:eastAsia="en-AU"/>
              </w:rPr>
              <w:t>.</w:t>
            </w:r>
          </w:p>
        </w:tc>
      </w:tr>
      <w:tr w:rsidR="00DA7661" w:rsidRPr="006156FF" w14:paraId="26B17546" w14:textId="77777777" w:rsidTr="007F0613">
        <w:trPr>
          <w:trHeight w:val="195"/>
        </w:trPr>
        <w:tc>
          <w:tcPr>
            <w:tcW w:w="2116" w:type="dxa"/>
            <w:shd w:val="clear" w:color="auto" w:fill="FFFFFF" w:themeFill="background1"/>
          </w:tcPr>
          <w:p w14:paraId="54842B7C" w14:textId="6D31FAF3" w:rsidR="00DA7661" w:rsidRPr="006156FF" w:rsidRDefault="002E6118" w:rsidP="00AC61A7">
            <w:pPr>
              <w:suppressAutoHyphens w:val="0"/>
              <w:spacing w:before="120" w:after="120"/>
              <w:textAlignment w:val="baseline"/>
              <w:rPr>
                <w:rFonts w:asciiTheme="minorHAnsi" w:eastAsia="Times New Roman" w:hAnsiTheme="minorHAnsi" w:cs="Segoe UI"/>
                <w:b/>
                <w:bCs/>
                <w:color w:val="auto"/>
                <w:lang w:eastAsia="en-AU"/>
              </w:rPr>
            </w:pPr>
            <w:r>
              <w:rPr>
                <w:rFonts w:asciiTheme="minorHAnsi" w:eastAsia="Times New Roman" w:hAnsiTheme="minorHAnsi" w:cs="Segoe UI"/>
                <w:b/>
                <w:bCs/>
                <w:color w:val="auto"/>
                <w:lang w:eastAsia="en-AU"/>
              </w:rPr>
              <w:t xml:space="preserve">3.3 </w:t>
            </w:r>
            <w:r w:rsidR="00947713" w:rsidRPr="002F39D1">
              <w:rPr>
                <w:rFonts w:asciiTheme="minorHAnsi" w:eastAsia="Times New Roman" w:hAnsiTheme="minorHAnsi" w:cs="Segoe UI"/>
                <w:b/>
                <w:bCs/>
                <w:color w:val="auto"/>
                <w:lang w:eastAsia="en-AU"/>
              </w:rPr>
              <w:t xml:space="preserve">People have </w:t>
            </w:r>
            <w:r w:rsidR="000B4831">
              <w:rPr>
                <w:rFonts w:asciiTheme="minorHAnsi" w:eastAsia="Times New Roman" w:hAnsiTheme="minorHAnsi" w:cs="Segoe UI"/>
                <w:b/>
                <w:bCs/>
                <w:color w:val="auto"/>
                <w:lang w:eastAsia="en-AU"/>
              </w:rPr>
              <w:t>access to housing that meets their changing needs across their lifespan</w:t>
            </w:r>
          </w:p>
        </w:tc>
        <w:tc>
          <w:tcPr>
            <w:tcW w:w="8082" w:type="dxa"/>
            <w:shd w:val="clear" w:color="auto" w:fill="auto"/>
          </w:tcPr>
          <w:p w14:paraId="019E2F2E" w14:textId="76EC256A" w:rsidR="008F480E" w:rsidRPr="008F480E" w:rsidRDefault="008F480E" w:rsidP="00B13429">
            <w:pPr>
              <w:pStyle w:val="ListParagraph"/>
              <w:numPr>
                <w:ilvl w:val="0"/>
                <w:numId w:val="62"/>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sidRPr="008F480E">
              <w:rPr>
                <w:rFonts w:asciiTheme="minorHAnsi" w:hAnsiTheme="minorHAnsi"/>
                <w:color w:val="auto"/>
                <w:lang w:val="en-GB"/>
              </w:rPr>
              <w:t xml:space="preserve">See </w:t>
            </w:r>
            <w:r w:rsidRPr="008F480E">
              <w:rPr>
                <w:rFonts w:asciiTheme="minorHAnsi" w:hAnsiTheme="minorHAnsi"/>
                <w:b/>
                <w:bCs/>
                <w:color w:val="auto"/>
                <w:lang w:val="en-GB"/>
              </w:rPr>
              <w:t>Fact sheet #</w:t>
            </w:r>
            <w:r w:rsidR="007C7947">
              <w:rPr>
                <w:rFonts w:asciiTheme="minorHAnsi" w:hAnsiTheme="minorHAnsi"/>
                <w:b/>
                <w:bCs/>
                <w:color w:val="auto"/>
                <w:lang w:val="en-GB"/>
              </w:rPr>
              <w:t>1</w:t>
            </w:r>
            <w:r w:rsidRPr="008F480E">
              <w:rPr>
                <w:rFonts w:asciiTheme="minorHAnsi" w:hAnsiTheme="minorHAnsi"/>
                <w:b/>
                <w:bCs/>
                <w:color w:val="auto"/>
                <w:lang w:val="en-GB"/>
              </w:rPr>
              <w:t xml:space="preserve"> Respecting diversity of homelessness experiences</w:t>
            </w:r>
          </w:p>
          <w:p w14:paraId="5FEA3D3F" w14:textId="7CE968F8" w:rsidR="00D82ED6" w:rsidRPr="00AC61A7" w:rsidRDefault="00D72C4E" w:rsidP="00B13429">
            <w:pPr>
              <w:pStyle w:val="ListParagraph"/>
              <w:numPr>
                <w:ilvl w:val="0"/>
                <w:numId w:val="62"/>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Pr>
                <w:rFonts w:asciiTheme="minorHAnsi" w:eastAsia="Times New Roman" w:hAnsiTheme="minorHAnsi" w:cs="Segoe UI"/>
                <w:color w:val="auto"/>
                <w:lang w:eastAsia="en-AU"/>
              </w:rPr>
              <w:t>F</w:t>
            </w:r>
            <w:r w:rsidRPr="00AC61A7">
              <w:rPr>
                <w:rFonts w:asciiTheme="minorHAnsi" w:eastAsia="Times New Roman" w:hAnsiTheme="minorHAnsi" w:cs="Segoe UI"/>
                <w:color w:val="auto"/>
                <w:lang w:eastAsia="en-AU"/>
              </w:rPr>
              <w:t>or evidence related to the diverse needs of children and young people</w:t>
            </w:r>
            <w:r>
              <w:rPr>
                <w:rFonts w:asciiTheme="minorHAnsi" w:eastAsia="Times New Roman" w:hAnsiTheme="minorHAnsi" w:cs="Segoe UI"/>
                <w:color w:val="auto"/>
                <w:lang w:eastAsia="en-AU"/>
              </w:rPr>
              <w:t xml:space="preserve"> </w:t>
            </w:r>
            <w:r w:rsidR="00B4642E">
              <w:rPr>
                <w:rFonts w:asciiTheme="minorHAnsi" w:eastAsia="Times New Roman" w:hAnsiTheme="minorHAnsi" w:cs="Segoe UI"/>
                <w:color w:val="auto"/>
                <w:lang w:eastAsia="en-AU"/>
              </w:rPr>
              <w:t xml:space="preserve">see </w:t>
            </w:r>
            <w:r w:rsidR="00FB0802" w:rsidRPr="00B4642E">
              <w:rPr>
                <w:rFonts w:asciiTheme="minorHAnsi" w:eastAsia="Times New Roman" w:hAnsiTheme="minorHAnsi" w:cs="Segoe UI"/>
                <w:i/>
                <w:iCs/>
                <w:color w:val="auto"/>
                <w:lang w:eastAsia="en-AU"/>
              </w:rPr>
              <w:t>Summary of evidence on actions to address homelessness amongst children and young people</w:t>
            </w:r>
            <w:r w:rsidR="00FB0802" w:rsidRPr="00AC61A7">
              <w:rPr>
                <w:rFonts w:asciiTheme="minorHAnsi" w:eastAsia="Times New Roman" w:hAnsiTheme="minorHAnsi" w:cs="Segoe UI"/>
                <w:color w:val="auto"/>
                <w:lang w:eastAsia="en-AU"/>
              </w:rPr>
              <w:t xml:space="preserve"> </w:t>
            </w:r>
            <w:r w:rsidR="00B45691" w:rsidRPr="00AC61A7">
              <w:rPr>
                <w:rFonts w:asciiTheme="minorHAnsi" w:eastAsia="Times New Roman" w:hAnsiTheme="minorHAnsi" w:cs="Segoe UI"/>
                <w:color w:val="auto"/>
                <w:lang w:eastAsia="en-AU"/>
              </w:rPr>
              <w:t>(below)</w:t>
            </w:r>
            <w:r>
              <w:rPr>
                <w:rFonts w:asciiTheme="minorHAnsi" w:eastAsia="Times New Roman" w:hAnsiTheme="minorHAnsi" w:cs="Segoe UI"/>
                <w:color w:val="auto"/>
                <w:lang w:eastAsia="en-AU"/>
              </w:rPr>
              <w:t>.</w:t>
            </w:r>
          </w:p>
          <w:p w14:paraId="6D851CDE" w14:textId="6F8CEEB7" w:rsidR="004015F7" w:rsidRPr="00AC61A7" w:rsidRDefault="006A363B" w:rsidP="00B13429">
            <w:pPr>
              <w:pStyle w:val="ListParagraph"/>
              <w:numPr>
                <w:ilvl w:val="0"/>
                <w:numId w:val="62"/>
              </w:numPr>
              <w:suppressAutoHyphens w:val="0"/>
              <w:spacing w:before="120" w:after="120"/>
              <w:ind w:left="453" w:hanging="357"/>
              <w:contextualSpacing w:val="0"/>
              <w:textAlignment w:val="baseline"/>
              <w:rPr>
                <w:rFonts w:asciiTheme="minorHAnsi" w:eastAsia="Times New Roman" w:hAnsiTheme="minorHAnsi" w:cs="Segoe UI"/>
                <w:color w:val="auto"/>
                <w:lang w:eastAsia="en-AU"/>
              </w:rPr>
            </w:pPr>
            <w:r>
              <w:rPr>
                <w:rFonts w:asciiTheme="minorHAnsi" w:eastAsia="Times New Roman" w:hAnsiTheme="minorHAnsi" w:cs="Segoe UI"/>
                <w:color w:val="auto"/>
                <w:lang w:eastAsia="en-AU"/>
              </w:rPr>
              <w:t xml:space="preserve">The </w:t>
            </w:r>
            <w:r w:rsidR="00B45691" w:rsidRPr="00AC61A7">
              <w:rPr>
                <w:rFonts w:asciiTheme="minorHAnsi" w:eastAsia="Times New Roman" w:hAnsiTheme="minorHAnsi" w:cs="Segoe UI"/>
                <w:color w:val="auto"/>
                <w:lang w:eastAsia="en-AU"/>
              </w:rPr>
              <w:t>Ageing on the Edge</w:t>
            </w:r>
            <w:r w:rsidR="00A13BC4" w:rsidRPr="00AC61A7">
              <w:rPr>
                <w:rFonts w:asciiTheme="minorHAnsi" w:eastAsia="Times New Roman" w:hAnsiTheme="minorHAnsi" w:cs="Segoe UI"/>
                <w:color w:val="auto"/>
                <w:lang w:eastAsia="en-AU"/>
              </w:rPr>
              <w:t xml:space="preserve"> </w:t>
            </w:r>
            <w:r w:rsidR="00A676C5" w:rsidRPr="00AC61A7">
              <w:rPr>
                <w:rFonts w:asciiTheme="minorHAnsi" w:eastAsia="Times New Roman" w:hAnsiTheme="minorHAnsi" w:cs="Segoe UI"/>
                <w:color w:val="auto"/>
                <w:lang w:eastAsia="en-AU"/>
              </w:rPr>
              <w:t xml:space="preserve">Forum </w:t>
            </w:r>
            <w:r w:rsidR="00B4642E">
              <w:rPr>
                <w:rFonts w:asciiTheme="minorHAnsi" w:eastAsia="Times New Roman" w:hAnsiTheme="minorHAnsi" w:cs="Segoe UI"/>
                <w:color w:val="auto"/>
                <w:lang w:eastAsia="en-AU"/>
              </w:rPr>
              <w:t>highlights that ‘h</w:t>
            </w:r>
            <w:r w:rsidR="00A13BC4" w:rsidRPr="00AC61A7">
              <w:rPr>
                <w:rFonts w:asciiTheme="minorHAnsi" w:hAnsiTheme="minorHAnsi"/>
                <w:color w:val="auto"/>
              </w:rPr>
              <w:t>ousing is critically important for physical and mental health, and general wellbeing of older people. With a decline in home ownership at retirement age, unprecedented increases in housing prices and a reduction in social and affordable housing stock in NSW, older people are experiencing significant housing challenges and are at increased risk of homelessness</w:t>
            </w:r>
            <w:r w:rsidR="00B4642E">
              <w:rPr>
                <w:rFonts w:asciiTheme="minorHAnsi" w:hAnsiTheme="minorHAnsi"/>
                <w:color w:val="auto"/>
              </w:rPr>
              <w:t>’</w:t>
            </w:r>
            <w:r w:rsidR="00D82ED6" w:rsidRPr="002F39D1">
              <w:rPr>
                <w:rStyle w:val="EndnoteReference"/>
                <w:rFonts w:asciiTheme="minorHAnsi" w:eastAsia="Times New Roman" w:hAnsiTheme="minorHAnsi" w:cs="Segoe UI"/>
                <w:color w:val="auto"/>
                <w:lang w:eastAsia="en-AU"/>
              </w:rPr>
              <w:endnoteReference w:id="48"/>
            </w:r>
            <w:r w:rsidR="00B4642E">
              <w:rPr>
                <w:rFonts w:asciiTheme="minorHAnsi" w:hAnsiTheme="minorHAnsi"/>
                <w:color w:val="auto"/>
              </w:rPr>
              <w:t>.</w:t>
            </w:r>
            <w:r w:rsidR="00AC69A1" w:rsidRPr="00AC61A7">
              <w:rPr>
                <w:rFonts w:asciiTheme="minorHAnsi" w:hAnsiTheme="minorHAnsi"/>
                <w:color w:val="auto"/>
              </w:rPr>
              <w:t xml:space="preserve"> An early intervention and preventative approach is critical to </w:t>
            </w:r>
            <w:r w:rsidR="00AC69A1" w:rsidRPr="00AC61A7">
              <w:rPr>
                <w:rFonts w:asciiTheme="minorHAnsi" w:hAnsiTheme="minorHAnsi"/>
                <w:color w:val="auto"/>
              </w:rPr>
              <w:lastRenderedPageBreak/>
              <w:t>reaching older people before they experience a housing crisis in order to avoid the associated mental and physical health impacts of homelessness</w:t>
            </w:r>
            <w:r w:rsidR="00DD6639" w:rsidRPr="002F39D1">
              <w:rPr>
                <w:rStyle w:val="EndnoteReference"/>
                <w:rFonts w:asciiTheme="minorHAnsi" w:hAnsiTheme="minorHAnsi"/>
                <w:color w:val="auto"/>
              </w:rPr>
              <w:endnoteReference w:id="49"/>
            </w:r>
            <w:r w:rsidR="00B4642E">
              <w:rPr>
                <w:rFonts w:asciiTheme="minorHAnsi" w:hAnsiTheme="minorHAnsi"/>
                <w:color w:val="auto"/>
              </w:rPr>
              <w:t>.</w:t>
            </w:r>
          </w:p>
        </w:tc>
      </w:tr>
    </w:tbl>
    <w:p w14:paraId="1451266D" w14:textId="77777777" w:rsidR="006A363B" w:rsidRDefault="006A363B" w:rsidP="006A363B">
      <w:pPr>
        <w:suppressAutoHyphens w:val="0"/>
        <w:spacing w:after="160" w:line="259" w:lineRule="auto"/>
      </w:pPr>
      <w:bookmarkStart w:id="9" w:name="_Toc171943314"/>
    </w:p>
    <w:p w14:paraId="4A44F9D5" w14:textId="64831889" w:rsidR="002D4D94" w:rsidRPr="006156FF" w:rsidRDefault="00C84F9D" w:rsidP="006A363B">
      <w:pPr>
        <w:pStyle w:val="Heading1"/>
        <w:numPr>
          <w:ilvl w:val="0"/>
          <w:numId w:val="0"/>
        </w:numPr>
      </w:pPr>
      <w:r w:rsidRPr="006156FF">
        <w:t xml:space="preserve">Guiding </w:t>
      </w:r>
      <w:r w:rsidR="002D4D94" w:rsidRPr="006156FF">
        <w:t xml:space="preserve">principles </w:t>
      </w:r>
      <w:bookmarkEnd w:id="9"/>
      <w:r w:rsidRPr="006156FF">
        <w:t>of the Strategy</w:t>
      </w:r>
    </w:p>
    <w:p w14:paraId="2ABA576B" w14:textId="47DEDEA9" w:rsidR="000422A4" w:rsidRPr="006156FF" w:rsidRDefault="00C84F9D" w:rsidP="000422A4">
      <w:pPr>
        <w:spacing w:after="120"/>
        <w:rPr>
          <w:rFonts w:asciiTheme="minorHAnsi" w:eastAsia="Times New Roman" w:hAnsiTheme="minorHAnsi"/>
          <w:color w:val="auto"/>
          <w:sz w:val="22"/>
          <w:szCs w:val="22"/>
        </w:rPr>
      </w:pPr>
      <w:r w:rsidRPr="006156FF">
        <w:rPr>
          <w:rFonts w:asciiTheme="minorHAnsi" w:eastAsia="Times New Roman" w:hAnsiTheme="minorHAnsi"/>
          <w:color w:val="auto"/>
          <w:sz w:val="22"/>
          <w:szCs w:val="22"/>
        </w:rPr>
        <w:t>T</w:t>
      </w:r>
      <w:r w:rsidR="000422A4" w:rsidRPr="006156FF">
        <w:rPr>
          <w:rFonts w:asciiTheme="minorHAnsi" w:eastAsia="Times New Roman" w:hAnsiTheme="minorHAnsi"/>
          <w:color w:val="auto"/>
          <w:sz w:val="22"/>
          <w:szCs w:val="22"/>
        </w:rPr>
        <w:t>hese principles guide all areas of the NSW Homelessness Strategy:</w:t>
      </w:r>
    </w:p>
    <w:p w14:paraId="168269CE" w14:textId="77777777" w:rsidR="00FF2458" w:rsidRPr="006156FF" w:rsidRDefault="00FF2458" w:rsidP="00B13429">
      <w:pPr>
        <w:pStyle w:val="BodyText"/>
        <w:numPr>
          <w:ilvl w:val="0"/>
          <w:numId w:val="32"/>
        </w:numPr>
        <w:spacing w:before="0" w:after="80"/>
        <w:ind w:left="720"/>
      </w:pPr>
      <w:r w:rsidRPr="006156FF">
        <w:rPr>
          <w:rFonts w:cs="Arial"/>
          <w:lang w:val="en-GB"/>
        </w:rPr>
        <w:t>Housing is a human right</w:t>
      </w:r>
    </w:p>
    <w:p w14:paraId="6D413C20" w14:textId="08F3E0B4" w:rsidR="00053A6D" w:rsidRDefault="00313187" w:rsidP="00B13429">
      <w:pPr>
        <w:pStyle w:val="BodyText"/>
        <w:widowControl w:val="0"/>
        <w:numPr>
          <w:ilvl w:val="0"/>
          <w:numId w:val="32"/>
        </w:numPr>
        <w:suppressAutoHyphens w:val="0"/>
        <w:spacing w:before="0" w:after="80"/>
        <w:ind w:left="720"/>
      </w:pPr>
      <w:r w:rsidRPr="006156FF">
        <w:t xml:space="preserve">Aboriginal </w:t>
      </w:r>
      <w:r w:rsidR="002D1C81">
        <w:t>expertise and leadership</w:t>
      </w:r>
      <w:r w:rsidR="00053A6D">
        <w:t xml:space="preserve"> are respected</w:t>
      </w:r>
    </w:p>
    <w:p w14:paraId="7FFC419A" w14:textId="0EFFFC63" w:rsidR="00313187" w:rsidRPr="006156FF" w:rsidRDefault="00053A6D" w:rsidP="00B13429">
      <w:pPr>
        <w:pStyle w:val="BodyText"/>
        <w:widowControl w:val="0"/>
        <w:numPr>
          <w:ilvl w:val="0"/>
          <w:numId w:val="32"/>
        </w:numPr>
        <w:suppressAutoHyphens w:val="0"/>
        <w:spacing w:before="0" w:after="80"/>
        <w:ind w:left="720"/>
      </w:pPr>
      <w:r>
        <w:t>P</w:t>
      </w:r>
      <w:r w:rsidR="00313187" w:rsidRPr="006156FF">
        <w:t>eople with lived experience</w:t>
      </w:r>
      <w:r>
        <w:t xml:space="preserve"> inform service design</w:t>
      </w:r>
    </w:p>
    <w:p w14:paraId="20389DC4" w14:textId="0D820EC6" w:rsidR="00313187" w:rsidRPr="006156FF" w:rsidRDefault="00053A6D" w:rsidP="00B13429">
      <w:pPr>
        <w:pStyle w:val="BodyText"/>
        <w:widowControl w:val="0"/>
        <w:numPr>
          <w:ilvl w:val="0"/>
          <w:numId w:val="32"/>
        </w:numPr>
        <w:suppressAutoHyphens w:val="0"/>
        <w:spacing w:before="0" w:after="80"/>
        <w:ind w:left="720"/>
      </w:pPr>
      <w:r>
        <w:t>P</w:t>
      </w:r>
      <w:r w:rsidR="00313187" w:rsidRPr="006156FF">
        <w:t>revention</w:t>
      </w:r>
      <w:r>
        <w:t xml:space="preserve"> is prioritised</w:t>
      </w:r>
      <w:r w:rsidR="00313187" w:rsidRPr="006156FF">
        <w:t xml:space="preserve"> </w:t>
      </w:r>
    </w:p>
    <w:p w14:paraId="09748914" w14:textId="589FFF54" w:rsidR="00053A6D" w:rsidRPr="006156FF" w:rsidRDefault="00053A6D" w:rsidP="00B13429">
      <w:pPr>
        <w:pStyle w:val="BodyText"/>
        <w:widowControl w:val="0"/>
        <w:numPr>
          <w:ilvl w:val="0"/>
          <w:numId w:val="32"/>
        </w:numPr>
        <w:suppressAutoHyphens w:val="0"/>
        <w:spacing w:before="0" w:after="80"/>
        <w:ind w:left="720"/>
      </w:pPr>
      <w:r w:rsidRPr="006156FF">
        <w:t xml:space="preserve">Housing First </w:t>
      </w:r>
      <w:r>
        <w:t>principles are embedded in policy and practice</w:t>
      </w:r>
    </w:p>
    <w:p w14:paraId="2421C5B3" w14:textId="429667A3" w:rsidR="00FF2458" w:rsidRPr="006156FF" w:rsidRDefault="00DC3BBD" w:rsidP="00B13429">
      <w:pPr>
        <w:pStyle w:val="BodyText"/>
        <w:numPr>
          <w:ilvl w:val="0"/>
          <w:numId w:val="32"/>
        </w:numPr>
        <w:spacing w:before="0" w:after="80"/>
        <w:ind w:left="720"/>
      </w:pPr>
      <w:r>
        <w:rPr>
          <w:rFonts w:cs="Arial"/>
          <w:lang w:val="en-GB"/>
        </w:rPr>
        <w:t>P</w:t>
      </w:r>
      <w:r w:rsidR="00FF2458" w:rsidRPr="006156FF">
        <w:rPr>
          <w:rFonts w:cs="Arial"/>
          <w:lang w:val="en-GB"/>
        </w:rPr>
        <w:t>erson-centred</w:t>
      </w:r>
      <w:r>
        <w:rPr>
          <w:rFonts w:cs="Arial"/>
          <w:lang w:val="en-GB"/>
        </w:rPr>
        <w:t xml:space="preserve"> principles are embedded in policy and practice</w:t>
      </w:r>
    </w:p>
    <w:p w14:paraId="3EAA30E7" w14:textId="50D4A37F" w:rsidR="00FF2458" w:rsidRDefault="00DC3BBD" w:rsidP="00B13429">
      <w:pPr>
        <w:pStyle w:val="BodyText"/>
        <w:widowControl w:val="0"/>
        <w:numPr>
          <w:ilvl w:val="0"/>
          <w:numId w:val="32"/>
        </w:numPr>
        <w:suppressAutoHyphens w:val="0"/>
        <w:spacing w:before="0" w:after="80"/>
        <w:ind w:left="720"/>
      </w:pPr>
      <w:r>
        <w:t>Serv</w:t>
      </w:r>
      <w:r w:rsidR="00FF57FD">
        <w:t>i</w:t>
      </w:r>
      <w:r>
        <w:t xml:space="preserve">ce planning and delivery </w:t>
      </w:r>
      <w:r w:rsidR="00191B88">
        <w:t>is f</w:t>
      </w:r>
      <w:r w:rsidR="00191B88" w:rsidRPr="006156FF">
        <w:t>lexible</w:t>
      </w:r>
      <w:r w:rsidR="00D72C4E">
        <w:t>,</w:t>
      </w:r>
      <w:r w:rsidR="00191B88" w:rsidRPr="006156FF">
        <w:t xml:space="preserve"> </w:t>
      </w:r>
      <w:r w:rsidR="00F01E52" w:rsidRPr="006156FF">
        <w:t>l</w:t>
      </w:r>
      <w:r w:rsidR="00FF2458" w:rsidRPr="006156FF">
        <w:t xml:space="preserve">ocalised </w:t>
      </w:r>
      <w:r w:rsidR="00D72C4E">
        <w:t>and joined up</w:t>
      </w:r>
    </w:p>
    <w:p w14:paraId="7CCD5FF9" w14:textId="579BC16F" w:rsidR="00DE09A7" w:rsidRDefault="00DE09A7" w:rsidP="00B13429">
      <w:pPr>
        <w:pStyle w:val="BodyText"/>
        <w:widowControl w:val="0"/>
        <w:numPr>
          <w:ilvl w:val="0"/>
          <w:numId w:val="32"/>
        </w:numPr>
        <w:suppressAutoHyphens w:val="0"/>
        <w:spacing w:before="0" w:after="80"/>
        <w:ind w:left="720"/>
      </w:pPr>
      <w:r>
        <w:t xml:space="preserve">The workforce is strong and </w:t>
      </w:r>
      <w:r w:rsidR="00D72C4E">
        <w:t>capable</w:t>
      </w:r>
    </w:p>
    <w:p w14:paraId="2052B1EC" w14:textId="18EF0B46" w:rsidR="000879E3" w:rsidRPr="006156FF" w:rsidRDefault="000879E3" w:rsidP="00B13429">
      <w:pPr>
        <w:pStyle w:val="BodyText"/>
        <w:widowControl w:val="0"/>
        <w:numPr>
          <w:ilvl w:val="0"/>
          <w:numId w:val="32"/>
        </w:numPr>
        <w:suppressAutoHyphens w:val="0"/>
        <w:spacing w:before="0" w:after="80"/>
        <w:ind w:left="720"/>
      </w:pPr>
      <w:r>
        <w:t>Systems, tools and measurement are consistent</w:t>
      </w:r>
      <w:r w:rsidR="00D72C4E">
        <w:t>, accessible</w:t>
      </w:r>
      <w:r>
        <w:t xml:space="preserve"> and </w:t>
      </w:r>
      <w:r w:rsidR="00D72C4E">
        <w:t>fit</w:t>
      </w:r>
      <w:r>
        <w:t xml:space="preserve"> for purpose</w:t>
      </w:r>
    </w:p>
    <w:p w14:paraId="1B3B3E32" w14:textId="4696336A" w:rsidR="00BA5296" w:rsidRPr="006156FF" w:rsidRDefault="00BA5296" w:rsidP="00C84F9D">
      <w:pPr>
        <w:pStyle w:val="Heading2"/>
      </w:pPr>
      <w:r w:rsidRPr="006156FF">
        <w:t xml:space="preserve">Housing </w:t>
      </w:r>
      <w:r w:rsidR="00191B88">
        <w:t>i</w:t>
      </w:r>
      <w:r w:rsidR="00191B88" w:rsidRPr="006156FF">
        <w:t xml:space="preserve">s </w:t>
      </w:r>
      <w:r w:rsidRPr="006156FF">
        <w:t>a human right</w:t>
      </w:r>
    </w:p>
    <w:p w14:paraId="19E74EE7" w14:textId="13A34A80" w:rsidR="00EB2F55" w:rsidRPr="006156FF" w:rsidRDefault="00EB2F55" w:rsidP="00B13429">
      <w:pPr>
        <w:numPr>
          <w:ilvl w:val="0"/>
          <w:numId w:val="32"/>
        </w:numPr>
        <w:tabs>
          <w:tab w:val="left" w:pos="357"/>
          <w:tab w:val="left" w:pos="714"/>
          <w:tab w:val="left" w:pos="2552"/>
        </w:tabs>
        <w:spacing w:before="120" w:after="120"/>
        <w:rPr>
          <w:rFonts w:asciiTheme="minorHAnsi" w:eastAsia="Times New Roman" w:hAnsiTheme="minorHAnsi" w:cs="Arial"/>
          <w:color w:val="auto"/>
          <w:sz w:val="22"/>
          <w:szCs w:val="22"/>
          <w:lang w:val="en-GB"/>
        </w:rPr>
      </w:pPr>
      <w:r w:rsidRPr="006156FF">
        <w:rPr>
          <w:rFonts w:asciiTheme="minorHAnsi" w:eastAsia="Times New Roman" w:hAnsiTheme="minorHAnsi" w:cs="Arial"/>
          <w:color w:val="auto"/>
          <w:sz w:val="22"/>
          <w:szCs w:val="22"/>
          <w:lang w:val="en-GB"/>
        </w:rPr>
        <w:t>Adequate housing was recognized as part of the right to an adequate standard of living in article 25 of the 1948 </w:t>
      </w:r>
      <w:hyperlink r:id="rId14" w:history="1">
        <w:r w:rsidRPr="006156FF">
          <w:rPr>
            <w:rFonts w:asciiTheme="minorHAnsi" w:eastAsia="Times New Roman" w:hAnsiTheme="minorHAnsi" w:cs="Arial"/>
            <w:color w:val="auto"/>
            <w:sz w:val="22"/>
            <w:szCs w:val="22"/>
            <w:lang w:val="en-GB"/>
          </w:rPr>
          <w:t>Universal Declaration of Human Rights</w:t>
        </w:r>
      </w:hyperlink>
      <w:r w:rsidR="00431DE2" w:rsidRPr="006156FF">
        <w:rPr>
          <w:rStyle w:val="EndnoteReference"/>
          <w:rFonts w:asciiTheme="minorHAnsi" w:eastAsia="Times New Roman" w:hAnsiTheme="minorHAnsi" w:cs="Arial"/>
          <w:color w:val="auto"/>
          <w:sz w:val="22"/>
          <w:szCs w:val="22"/>
          <w:lang w:val="en-GB"/>
        </w:rPr>
        <w:endnoteReference w:id="50"/>
      </w:r>
      <w:r w:rsidR="00C56B5D" w:rsidRPr="006156FF">
        <w:rPr>
          <w:rFonts w:asciiTheme="minorHAnsi" w:eastAsia="Times New Roman" w:hAnsiTheme="minorHAnsi" w:cs="Arial"/>
          <w:color w:val="auto"/>
          <w:sz w:val="22"/>
          <w:szCs w:val="22"/>
          <w:lang w:val="en-GB"/>
        </w:rPr>
        <w:t>.</w:t>
      </w:r>
    </w:p>
    <w:p w14:paraId="5C052BF1" w14:textId="7A6DD727" w:rsidR="00BA5296" w:rsidRPr="006156FF" w:rsidRDefault="00DA0839" w:rsidP="00B13429">
      <w:pPr>
        <w:numPr>
          <w:ilvl w:val="0"/>
          <w:numId w:val="32"/>
        </w:numPr>
        <w:tabs>
          <w:tab w:val="left" w:pos="357"/>
          <w:tab w:val="left" w:pos="714"/>
          <w:tab w:val="left" w:pos="2552"/>
        </w:tabs>
        <w:spacing w:before="120" w:after="120"/>
        <w:rPr>
          <w:rFonts w:asciiTheme="minorHAnsi" w:eastAsia="Times New Roman" w:hAnsiTheme="minorHAnsi" w:cs="Arial"/>
          <w:color w:val="auto"/>
          <w:sz w:val="22"/>
          <w:szCs w:val="22"/>
          <w:lang w:val="en-GB"/>
        </w:rPr>
      </w:pPr>
      <w:r w:rsidRPr="006156FF">
        <w:rPr>
          <w:rFonts w:asciiTheme="minorHAnsi" w:eastAsia="Times New Roman" w:hAnsiTheme="minorHAnsi" w:cs="Arial"/>
          <w:color w:val="auto"/>
          <w:sz w:val="22"/>
          <w:szCs w:val="22"/>
          <w:lang w:val="en-GB"/>
        </w:rPr>
        <w:t>The International</w:t>
      </w:r>
      <w:r w:rsidR="005356EE" w:rsidRPr="006156FF">
        <w:rPr>
          <w:rFonts w:asciiTheme="minorHAnsi" w:eastAsia="Times New Roman" w:hAnsiTheme="minorHAnsi" w:cs="Arial"/>
          <w:color w:val="auto"/>
          <w:sz w:val="22"/>
          <w:szCs w:val="22"/>
          <w:lang w:val="en-GB"/>
        </w:rPr>
        <w:t xml:space="preserve"> Covenant on Economic, Social and Cultural Rights</w:t>
      </w:r>
      <w:r w:rsidR="00D654D1" w:rsidRPr="006156FF">
        <w:rPr>
          <w:rFonts w:asciiTheme="minorHAnsi" w:eastAsia="Times New Roman" w:hAnsiTheme="minorHAnsi" w:cs="Arial"/>
          <w:color w:val="auto"/>
          <w:sz w:val="22"/>
          <w:szCs w:val="22"/>
          <w:lang w:val="en-GB"/>
        </w:rPr>
        <w:t xml:space="preserve"> states that everyone has a right to adequate housing</w:t>
      </w:r>
      <w:r w:rsidR="00524848" w:rsidRPr="006156FF">
        <w:rPr>
          <w:rFonts w:asciiTheme="minorHAnsi" w:eastAsia="Times New Roman" w:hAnsiTheme="minorHAnsi" w:cs="Arial"/>
          <w:color w:val="auto"/>
          <w:sz w:val="22"/>
          <w:szCs w:val="22"/>
          <w:vertAlign w:val="superscript"/>
          <w:lang w:val="en-GB"/>
        </w:rPr>
        <w:endnoteReference w:id="51"/>
      </w:r>
      <w:r w:rsidR="00C56B5D" w:rsidRPr="006156FF">
        <w:rPr>
          <w:rFonts w:asciiTheme="minorHAnsi" w:eastAsia="Times New Roman" w:hAnsiTheme="minorHAnsi" w:cs="Arial"/>
          <w:color w:val="auto"/>
          <w:sz w:val="22"/>
          <w:szCs w:val="22"/>
          <w:lang w:val="en-GB"/>
        </w:rPr>
        <w:t>.</w:t>
      </w:r>
      <w:r w:rsidR="008A6CDE" w:rsidRPr="006156FF">
        <w:rPr>
          <w:rFonts w:asciiTheme="minorHAnsi" w:eastAsia="Times New Roman" w:hAnsiTheme="minorHAnsi" w:cs="Arial"/>
          <w:color w:val="auto"/>
          <w:sz w:val="22"/>
          <w:szCs w:val="22"/>
          <w:lang w:val="en-GB"/>
        </w:rPr>
        <w:t xml:space="preserve"> Australia is a signatory to this covenant.</w:t>
      </w:r>
      <w:r w:rsidR="0058430A" w:rsidRPr="006156FF">
        <w:rPr>
          <w:rFonts w:asciiTheme="minorHAnsi" w:eastAsia="Times New Roman" w:hAnsiTheme="minorHAnsi" w:cs="Arial"/>
          <w:color w:val="auto"/>
          <w:sz w:val="22"/>
          <w:szCs w:val="22"/>
          <w:lang w:val="en-GB"/>
        </w:rPr>
        <w:t xml:space="preserve"> Adequate housing includes se</w:t>
      </w:r>
      <w:r w:rsidR="007E31BD" w:rsidRPr="006156FF">
        <w:rPr>
          <w:rFonts w:asciiTheme="minorHAnsi" w:eastAsia="Times New Roman" w:hAnsiTheme="minorHAnsi" w:cs="Arial"/>
          <w:color w:val="auto"/>
          <w:sz w:val="22"/>
          <w:szCs w:val="22"/>
          <w:lang w:val="en-GB"/>
        </w:rPr>
        <w:t>curity of tenure and access to services.</w:t>
      </w:r>
    </w:p>
    <w:p w14:paraId="2829B21E" w14:textId="06BF2223" w:rsidR="005B3263" w:rsidRPr="006156FF" w:rsidRDefault="00B4642E" w:rsidP="00B13429">
      <w:pPr>
        <w:numPr>
          <w:ilvl w:val="0"/>
          <w:numId w:val="32"/>
        </w:numPr>
        <w:tabs>
          <w:tab w:val="left" w:pos="357"/>
          <w:tab w:val="left" w:pos="714"/>
          <w:tab w:val="left" w:pos="2552"/>
        </w:tabs>
        <w:spacing w:before="120" w:after="120"/>
        <w:rPr>
          <w:rFonts w:asciiTheme="minorHAnsi" w:eastAsia="Times New Roman" w:hAnsiTheme="minorHAnsi" w:cs="Arial"/>
          <w:color w:val="auto"/>
          <w:sz w:val="22"/>
          <w:szCs w:val="22"/>
          <w:lang w:val="en-GB"/>
        </w:rPr>
      </w:pPr>
      <w:r>
        <w:rPr>
          <w:rFonts w:asciiTheme="minorHAnsi" w:eastAsia="Times New Roman" w:hAnsiTheme="minorHAnsi" w:cs="Arial"/>
          <w:color w:val="auto"/>
          <w:sz w:val="22"/>
          <w:szCs w:val="22"/>
          <w:lang w:val="en-GB"/>
        </w:rPr>
        <w:t>‘H</w:t>
      </w:r>
      <w:r w:rsidR="00342B9D" w:rsidRPr="006156FF">
        <w:rPr>
          <w:rFonts w:asciiTheme="minorHAnsi" w:eastAsia="Times New Roman" w:hAnsiTheme="minorHAnsi" w:cs="Arial"/>
          <w:color w:val="auto"/>
          <w:sz w:val="22"/>
          <w:szCs w:val="22"/>
          <w:lang w:val="en-GB"/>
        </w:rPr>
        <w:t>ousing is the basis of stability and security for an individual or family. The centre of our social, emotional and sometimes economic lives, a home should be a sanctuary—a place to live in peace, security and dignity</w:t>
      </w:r>
      <w:r>
        <w:rPr>
          <w:rFonts w:asciiTheme="minorHAnsi" w:eastAsia="Times New Roman" w:hAnsiTheme="minorHAnsi" w:cs="Arial"/>
          <w:color w:val="auto"/>
          <w:sz w:val="22"/>
          <w:szCs w:val="22"/>
          <w:lang w:val="en-GB"/>
        </w:rPr>
        <w:t>’</w:t>
      </w:r>
      <w:r w:rsidR="00610001" w:rsidRPr="006156FF">
        <w:rPr>
          <w:rStyle w:val="EndnoteReference"/>
          <w:rFonts w:asciiTheme="minorHAnsi" w:eastAsia="Times New Roman" w:hAnsiTheme="minorHAnsi" w:cs="Arial"/>
          <w:color w:val="auto"/>
          <w:sz w:val="22"/>
          <w:szCs w:val="22"/>
          <w:lang w:val="en-GB"/>
        </w:rPr>
        <w:endnoteReference w:id="52"/>
      </w:r>
      <w:r w:rsidR="00C56B5D" w:rsidRPr="006156FF">
        <w:rPr>
          <w:rFonts w:asciiTheme="minorHAnsi" w:eastAsia="Times New Roman" w:hAnsiTheme="minorHAnsi" w:cs="Arial"/>
          <w:color w:val="auto"/>
          <w:sz w:val="22"/>
          <w:szCs w:val="22"/>
          <w:lang w:val="en-GB"/>
        </w:rPr>
        <w:t>.</w:t>
      </w:r>
    </w:p>
    <w:p w14:paraId="643447D5" w14:textId="21F2027E" w:rsidR="001E3FC8" w:rsidRPr="006156FF" w:rsidRDefault="00171757" w:rsidP="00B13429">
      <w:pPr>
        <w:pStyle w:val="BodyText"/>
        <w:numPr>
          <w:ilvl w:val="0"/>
          <w:numId w:val="32"/>
        </w:numPr>
        <w:rPr>
          <w:lang w:val="en-GB"/>
        </w:rPr>
      </w:pPr>
      <w:r w:rsidRPr="006156FF">
        <w:rPr>
          <w:lang w:val="en-GB"/>
        </w:rPr>
        <w:t xml:space="preserve">As noted by the Australian </w:t>
      </w:r>
      <w:r w:rsidR="00D1783E" w:rsidRPr="006156FF">
        <w:rPr>
          <w:lang w:val="en-GB"/>
        </w:rPr>
        <w:t>Human</w:t>
      </w:r>
      <w:r w:rsidRPr="006156FF">
        <w:rPr>
          <w:lang w:val="en-GB"/>
        </w:rPr>
        <w:t xml:space="preserve"> Rights </w:t>
      </w:r>
      <w:r w:rsidR="00D1783E" w:rsidRPr="006156FF">
        <w:rPr>
          <w:lang w:val="en-GB"/>
        </w:rPr>
        <w:t xml:space="preserve">Commission, </w:t>
      </w:r>
      <w:r w:rsidR="00B4642E">
        <w:rPr>
          <w:lang w:val="en-GB"/>
        </w:rPr>
        <w:t>‘a</w:t>
      </w:r>
      <w:r w:rsidR="001E3FC8" w:rsidRPr="006156FF">
        <w:rPr>
          <w:lang w:val="en-GB"/>
        </w:rPr>
        <w:t xml:space="preserve"> person who is homeless may face violations of the right to an adequate standard of living, the right to education, the right to liberty and security of the person, the right to privacy, the right to social security, the right to freedom from discrimination, the right to vote, and many more. These human rights are protected by a number of international human rights treaties</w:t>
      </w:r>
      <w:r w:rsidR="00B4642E">
        <w:rPr>
          <w:lang w:val="en-GB"/>
        </w:rPr>
        <w:t>’</w:t>
      </w:r>
      <w:r w:rsidR="001E3FC8" w:rsidRPr="006156FF">
        <w:rPr>
          <w:rStyle w:val="EndnoteReference"/>
          <w:lang w:val="en-GB"/>
        </w:rPr>
        <w:endnoteReference w:id="53"/>
      </w:r>
      <w:r w:rsidR="00C56B5D" w:rsidRPr="006156FF">
        <w:rPr>
          <w:lang w:val="en-GB"/>
        </w:rPr>
        <w:t>.</w:t>
      </w:r>
    </w:p>
    <w:p w14:paraId="2F30F678" w14:textId="5FA2E252" w:rsidR="00290CAE" w:rsidRPr="006156FF" w:rsidRDefault="00533D61" w:rsidP="00B13429">
      <w:pPr>
        <w:pStyle w:val="BodyText"/>
        <w:numPr>
          <w:ilvl w:val="0"/>
          <w:numId w:val="32"/>
        </w:numPr>
        <w:rPr>
          <w:lang w:val="en-GB"/>
        </w:rPr>
      </w:pPr>
      <w:r w:rsidRPr="006156FF">
        <w:rPr>
          <w:lang w:val="en-GB"/>
        </w:rPr>
        <w:t xml:space="preserve">A human rights approach </w:t>
      </w:r>
      <w:r w:rsidR="00C25356" w:rsidRPr="006156FF">
        <w:rPr>
          <w:lang w:val="en-GB"/>
        </w:rPr>
        <w:t xml:space="preserve">to homelessness </w:t>
      </w:r>
      <w:r w:rsidRPr="006156FF">
        <w:rPr>
          <w:lang w:val="en-GB"/>
        </w:rPr>
        <w:t>recognises that people experiencing homelessness are entitled to protection under international law and are not just recipients of charity</w:t>
      </w:r>
      <w:r w:rsidR="00DE38F3" w:rsidRPr="006156FF">
        <w:rPr>
          <w:lang w:val="en-GB"/>
        </w:rPr>
        <w:t xml:space="preserve">. </w:t>
      </w:r>
      <w:r w:rsidR="00400278" w:rsidRPr="006156FF">
        <w:rPr>
          <w:lang w:val="en-GB"/>
        </w:rPr>
        <w:t>A human rights approach also calls for the meaningful involvement of people with lived experience of homelessness in developing solutions</w:t>
      </w:r>
      <w:r w:rsidR="00400278" w:rsidRPr="006156FF">
        <w:rPr>
          <w:rStyle w:val="EndnoteReference"/>
          <w:lang w:val="en-GB"/>
        </w:rPr>
        <w:endnoteReference w:id="54"/>
      </w:r>
      <w:r w:rsidR="00C56B5D" w:rsidRPr="006156FF">
        <w:rPr>
          <w:lang w:val="en-GB"/>
        </w:rPr>
        <w:t>.</w:t>
      </w:r>
    </w:p>
    <w:p w14:paraId="040D8056" w14:textId="10DDB401" w:rsidR="00473877" w:rsidRPr="006156FF" w:rsidRDefault="00716A6F" w:rsidP="00B13429">
      <w:pPr>
        <w:pStyle w:val="BodyText"/>
        <w:numPr>
          <w:ilvl w:val="0"/>
          <w:numId w:val="32"/>
        </w:numPr>
        <w:rPr>
          <w:lang w:val="en-GB"/>
        </w:rPr>
      </w:pPr>
      <w:r w:rsidRPr="006156FF">
        <w:rPr>
          <w:lang w:val="en-GB"/>
        </w:rPr>
        <w:t xml:space="preserve">See </w:t>
      </w:r>
      <w:r w:rsidR="00473877" w:rsidRPr="008F480E">
        <w:rPr>
          <w:b/>
          <w:bCs/>
          <w:i/>
          <w:iCs/>
          <w:lang w:val="en-GB"/>
        </w:rPr>
        <w:t>Fact sheet #</w:t>
      </w:r>
      <w:r w:rsidR="007C7947">
        <w:rPr>
          <w:b/>
          <w:bCs/>
          <w:i/>
          <w:iCs/>
          <w:lang w:val="en-GB"/>
        </w:rPr>
        <w:t>2</w:t>
      </w:r>
      <w:r w:rsidRPr="008F480E">
        <w:rPr>
          <w:b/>
          <w:bCs/>
          <w:i/>
          <w:iCs/>
          <w:lang w:val="en-GB"/>
        </w:rPr>
        <w:t xml:space="preserve"> </w:t>
      </w:r>
      <w:r w:rsidR="0083709C" w:rsidRPr="008F480E">
        <w:rPr>
          <w:b/>
          <w:bCs/>
          <w:i/>
          <w:iCs/>
          <w:lang w:val="en-GB"/>
        </w:rPr>
        <w:t>Why is change needed?</w:t>
      </w:r>
      <w:r w:rsidRPr="006156FF">
        <w:rPr>
          <w:lang w:val="en-GB"/>
        </w:rPr>
        <w:t xml:space="preserve"> for evidence on the impacts of homelessness on people</w:t>
      </w:r>
      <w:r w:rsidR="00AA3719" w:rsidRPr="006156FF">
        <w:rPr>
          <w:lang w:val="en-GB"/>
        </w:rPr>
        <w:t xml:space="preserve">, such as </w:t>
      </w:r>
      <w:r w:rsidR="0083616F" w:rsidRPr="006156FF">
        <w:rPr>
          <w:lang w:val="en-GB"/>
        </w:rPr>
        <w:t>poor health outcomes, trauma</w:t>
      </w:r>
      <w:r w:rsidR="000F3FCC" w:rsidRPr="006156FF">
        <w:rPr>
          <w:lang w:val="en-GB"/>
        </w:rPr>
        <w:t xml:space="preserve">, </w:t>
      </w:r>
      <w:r w:rsidR="0083616F" w:rsidRPr="006156FF">
        <w:rPr>
          <w:lang w:val="en-GB"/>
        </w:rPr>
        <w:t xml:space="preserve">violence and </w:t>
      </w:r>
      <w:r w:rsidR="00AA3719" w:rsidRPr="006156FF">
        <w:rPr>
          <w:lang w:val="en-GB"/>
        </w:rPr>
        <w:t>pre</w:t>
      </w:r>
      <w:r w:rsidR="0083616F" w:rsidRPr="006156FF">
        <w:rPr>
          <w:lang w:val="en-GB"/>
        </w:rPr>
        <w:t xml:space="preserve">mature death. </w:t>
      </w:r>
    </w:p>
    <w:p w14:paraId="0848AFC9" w14:textId="159A1869" w:rsidR="008A2F7F" w:rsidRPr="006156FF" w:rsidRDefault="008A2F7F" w:rsidP="008A2F7F">
      <w:pPr>
        <w:pStyle w:val="Heading2"/>
        <w:numPr>
          <w:ilvl w:val="0"/>
          <w:numId w:val="0"/>
        </w:numPr>
      </w:pPr>
      <w:r w:rsidRPr="006156FF">
        <w:t xml:space="preserve">Aboriginal </w:t>
      </w:r>
      <w:r w:rsidR="00191B88">
        <w:t>expertise and leadership are respected</w:t>
      </w:r>
    </w:p>
    <w:p w14:paraId="764BBBAC" w14:textId="06D15323" w:rsidR="006E3B69" w:rsidRPr="006156FF" w:rsidRDefault="00EB521B" w:rsidP="00B13429">
      <w:pPr>
        <w:pStyle w:val="BodyText"/>
        <w:numPr>
          <w:ilvl w:val="0"/>
          <w:numId w:val="45"/>
        </w:numPr>
        <w:rPr>
          <w:lang w:val="en-GB"/>
        </w:rPr>
      </w:pPr>
      <w:r w:rsidRPr="006156FF">
        <w:rPr>
          <w:lang w:val="en-GB"/>
        </w:rPr>
        <w:t>Priority Reform One under Closing the Gap</w:t>
      </w:r>
      <w:r w:rsidR="00CF2AFA" w:rsidRPr="006156FF">
        <w:rPr>
          <w:lang w:val="en-GB"/>
        </w:rPr>
        <w:t xml:space="preserve"> is to establish formal partnerships and shared decision making between government and Aboriginal and Torres Strait Islander </w:t>
      </w:r>
      <w:r w:rsidR="00124A38" w:rsidRPr="006156FF">
        <w:rPr>
          <w:lang w:val="en-GB"/>
        </w:rPr>
        <w:t xml:space="preserve">representatives. </w:t>
      </w:r>
      <w:r w:rsidR="007D6464" w:rsidRPr="006156FF">
        <w:rPr>
          <w:lang w:val="en-GB"/>
        </w:rPr>
        <w:t xml:space="preserve">This priority received overwhelming support </w:t>
      </w:r>
      <w:r w:rsidR="006E3B69" w:rsidRPr="006156FF">
        <w:rPr>
          <w:lang w:val="en-GB"/>
        </w:rPr>
        <w:t>during consultations</w:t>
      </w:r>
      <w:r w:rsidR="000C57A2" w:rsidRPr="006156FF">
        <w:rPr>
          <w:lang w:val="en-GB"/>
        </w:rPr>
        <w:t xml:space="preserve"> on Closing the Gap</w:t>
      </w:r>
      <w:r w:rsidR="006E3B69" w:rsidRPr="006156FF">
        <w:rPr>
          <w:rStyle w:val="EndnoteReference"/>
          <w:lang w:val="en-GB"/>
        </w:rPr>
        <w:endnoteReference w:id="55"/>
      </w:r>
      <w:r w:rsidR="00C56B5D" w:rsidRPr="006156FF">
        <w:rPr>
          <w:lang w:val="en-GB"/>
        </w:rPr>
        <w:t>.</w:t>
      </w:r>
      <w:r w:rsidR="006E3B69" w:rsidRPr="006156FF">
        <w:rPr>
          <w:lang w:val="en-GB"/>
        </w:rPr>
        <w:t xml:space="preserve"> </w:t>
      </w:r>
    </w:p>
    <w:p w14:paraId="4881CD3F" w14:textId="79053B12" w:rsidR="00715F9E" w:rsidRPr="006156FF" w:rsidRDefault="00715F9E" w:rsidP="00B13429">
      <w:pPr>
        <w:pStyle w:val="BodyText"/>
        <w:numPr>
          <w:ilvl w:val="1"/>
          <w:numId w:val="45"/>
        </w:numPr>
        <w:rPr>
          <w:lang w:val="en-GB"/>
        </w:rPr>
      </w:pPr>
      <w:r w:rsidRPr="006156FF">
        <w:rPr>
          <w:lang w:val="en-GB"/>
        </w:rPr>
        <w:t xml:space="preserve">Closing the Gap is underpinned by the belief that when Aboriginal and Torres Strait Islander people have a genuine say in the design and delivery of policies, programs and services that affect them, better life outcomes are achieved. It also recognises that </w:t>
      </w:r>
      <w:r w:rsidRPr="006156FF">
        <w:rPr>
          <w:lang w:val="en-GB"/>
        </w:rPr>
        <w:lastRenderedPageBreak/>
        <w:t>structural change in the way governments work with Aboriginal and Torres Strait Islander people is needed to close the gap</w:t>
      </w:r>
      <w:r w:rsidR="001504C7" w:rsidRPr="006156FF">
        <w:rPr>
          <w:rStyle w:val="EndnoteReference"/>
          <w:lang w:val="en-GB"/>
        </w:rPr>
        <w:endnoteReference w:id="56"/>
      </w:r>
      <w:r w:rsidR="00C56B5D" w:rsidRPr="006156FF">
        <w:rPr>
          <w:lang w:val="en-GB"/>
        </w:rPr>
        <w:t>.</w:t>
      </w:r>
    </w:p>
    <w:p w14:paraId="101CD830" w14:textId="77777777" w:rsidR="00034465" w:rsidRPr="006156FF" w:rsidRDefault="00034465" w:rsidP="00B13429">
      <w:pPr>
        <w:pStyle w:val="BodyText"/>
        <w:numPr>
          <w:ilvl w:val="0"/>
          <w:numId w:val="45"/>
        </w:numPr>
      </w:pPr>
      <w:r w:rsidRPr="006156FF">
        <w:t xml:space="preserve">Aboriginal stakeholders have told us the NSW Government can engage meaningfully with Aboriginal communities by </w:t>
      </w:r>
      <w:r w:rsidRPr="006156FF">
        <w:rPr>
          <w:rFonts w:eastAsia="Times New Roman" w:cs="Times New Roman"/>
          <w:color w:val="auto"/>
          <w:lang w:eastAsia="en-US"/>
        </w:rPr>
        <w:t>supporting local leadership and expertise within Aboriginal communities, engaging the community early and regularly, with safe spaces for expressing views, and respecting Aboriginal ways of knowing and being</w:t>
      </w:r>
      <w:r w:rsidRPr="006156FF">
        <w:rPr>
          <w:rStyle w:val="EndnoteReference"/>
          <w:rFonts w:eastAsia="Times New Roman" w:cs="Times New Roman"/>
          <w:color w:val="auto"/>
          <w:lang w:eastAsia="en-US"/>
        </w:rPr>
        <w:endnoteReference w:id="57"/>
      </w:r>
      <w:r w:rsidRPr="006156FF">
        <w:rPr>
          <w:rFonts w:eastAsia="Times New Roman" w:cs="Times New Roman"/>
          <w:color w:val="auto"/>
          <w:lang w:eastAsia="en-US"/>
        </w:rPr>
        <w:t>.</w:t>
      </w:r>
    </w:p>
    <w:p w14:paraId="2101B229" w14:textId="77777777" w:rsidR="00DE491A" w:rsidRPr="00DE491A" w:rsidRDefault="00DE491A" w:rsidP="00B13429">
      <w:pPr>
        <w:pStyle w:val="BodyText"/>
        <w:numPr>
          <w:ilvl w:val="0"/>
          <w:numId w:val="45"/>
        </w:numPr>
        <w:rPr>
          <w:color w:val="auto"/>
        </w:rPr>
      </w:pPr>
      <w:r w:rsidRPr="00DE491A">
        <w:rPr>
          <w:color w:val="auto"/>
        </w:rPr>
        <w:t xml:space="preserve">The NSW Government engaged ARTD and Cultural and Indigenous Research Centre Australia (CIRCA) to provide advice on meaningful stakeholder engagement for development of the new homelessness strategy. Aboriginal stakeholders advised the Government that we must: </w:t>
      </w:r>
    </w:p>
    <w:p w14:paraId="591C8118" w14:textId="77777777" w:rsidR="00DE491A" w:rsidRPr="00DE491A" w:rsidRDefault="00DE491A" w:rsidP="00B13429">
      <w:pPr>
        <w:pStyle w:val="BodyText"/>
        <w:numPr>
          <w:ilvl w:val="1"/>
          <w:numId w:val="45"/>
        </w:numPr>
        <w:rPr>
          <w:color w:val="auto"/>
        </w:rPr>
      </w:pPr>
      <w:r w:rsidRPr="00DE491A">
        <w:rPr>
          <w:color w:val="auto"/>
        </w:rPr>
        <w:t xml:space="preserve">put Aboriginal voice and experiences first </w:t>
      </w:r>
    </w:p>
    <w:p w14:paraId="35916A62" w14:textId="77777777" w:rsidR="00DE491A" w:rsidRPr="00DE491A" w:rsidRDefault="00DE491A" w:rsidP="00B13429">
      <w:pPr>
        <w:pStyle w:val="BodyText"/>
        <w:numPr>
          <w:ilvl w:val="1"/>
          <w:numId w:val="45"/>
        </w:numPr>
        <w:rPr>
          <w:color w:val="auto"/>
        </w:rPr>
      </w:pPr>
      <w:r w:rsidRPr="00DE491A">
        <w:rPr>
          <w:color w:val="auto"/>
        </w:rPr>
        <w:t xml:space="preserve">support local leadership and expertise within Aboriginal communities </w:t>
      </w:r>
    </w:p>
    <w:p w14:paraId="26AB0453" w14:textId="77777777" w:rsidR="00DE491A" w:rsidRPr="00DE491A" w:rsidRDefault="00DE491A" w:rsidP="00B13429">
      <w:pPr>
        <w:pStyle w:val="BodyText"/>
        <w:numPr>
          <w:ilvl w:val="1"/>
          <w:numId w:val="45"/>
        </w:numPr>
        <w:rPr>
          <w:color w:val="auto"/>
        </w:rPr>
      </w:pPr>
      <w:r w:rsidRPr="00DE491A">
        <w:rPr>
          <w:color w:val="auto"/>
        </w:rPr>
        <w:t xml:space="preserve">empower Aboriginal communities to co-design solutions </w:t>
      </w:r>
    </w:p>
    <w:p w14:paraId="09D1AC03" w14:textId="77777777" w:rsidR="00DE491A" w:rsidRPr="00DE491A" w:rsidRDefault="00DE491A" w:rsidP="00B13429">
      <w:pPr>
        <w:pStyle w:val="BodyText"/>
        <w:numPr>
          <w:ilvl w:val="1"/>
          <w:numId w:val="45"/>
        </w:numPr>
        <w:rPr>
          <w:color w:val="auto"/>
        </w:rPr>
      </w:pPr>
      <w:r w:rsidRPr="00DE491A">
        <w:rPr>
          <w:color w:val="auto"/>
        </w:rPr>
        <w:t xml:space="preserve">develop a prior understanding of the community </w:t>
      </w:r>
    </w:p>
    <w:p w14:paraId="4BC0A9FC" w14:textId="61C62905" w:rsidR="00DE491A" w:rsidRPr="00DE491A" w:rsidRDefault="00DE491A" w:rsidP="00B13429">
      <w:pPr>
        <w:pStyle w:val="BodyText"/>
        <w:numPr>
          <w:ilvl w:val="1"/>
          <w:numId w:val="45"/>
        </w:numPr>
        <w:rPr>
          <w:color w:val="auto"/>
        </w:rPr>
      </w:pPr>
      <w:r w:rsidRPr="00DE491A">
        <w:rPr>
          <w:color w:val="auto"/>
        </w:rPr>
        <w:t xml:space="preserve">build an ongoing relationship between </w:t>
      </w:r>
      <w:r w:rsidR="004255B6">
        <w:rPr>
          <w:color w:val="auto"/>
        </w:rPr>
        <w:t>the Department of Communities and Justice (</w:t>
      </w:r>
      <w:r w:rsidRPr="00DE491A">
        <w:rPr>
          <w:color w:val="auto"/>
        </w:rPr>
        <w:t>DCJ</w:t>
      </w:r>
      <w:r w:rsidR="004255B6">
        <w:rPr>
          <w:color w:val="auto"/>
        </w:rPr>
        <w:t>)</w:t>
      </w:r>
      <w:r w:rsidRPr="00DE491A">
        <w:rPr>
          <w:color w:val="auto"/>
        </w:rPr>
        <w:t xml:space="preserve"> and community </w:t>
      </w:r>
    </w:p>
    <w:p w14:paraId="3945F98C" w14:textId="77777777" w:rsidR="00DE491A" w:rsidRPr="00DE491A" w:rsidRDefault="00DE491A" w:rsidP="00B13429">
      <w:pPr>
        <w:pStyle w:val="BodyText"/>
        <w:numPr>
          <w:ilvl w:val="1"/>
          <w:numId w:val="45"/>
        </w:numPr>
        <w:rPr>
          <w:color w:val="auto"/>
        </w:rPr>
      </w:pPr>
      <w:r w:rsidRPr="00DE491A">
        <w:rPr>
          <w:color w:val="auto"/>
        </w:rPr>
        <w:t xml:space="preserve">engage the community early and regularly </w:t>
      </w:r>
    </w:p>
    <w:p w14:paraId="4C8330E6" w14:textId="77777777" w:rsidR="00DE491A" w:rsidRPr="00DE491A" w:rsidRDefault="00DE491A" w:rsidP="00B13429">
      <w:pPr>
        <w:pStyle w:val="BodyText"/>
        <w:numPr>
          <w:ilvl w:val="1"/>
          <w:numId w:val="45"/>
        </w:numPr>
        <w:rPr>
          <w:color w:val="auto"/>
        </w:rPr>
      </w:pPr>
      <w:r w:rsidRPr="00DE491A">
        <w:rPr>
          <w:color w:val="auto"/>
        </w:rPr>
        <w:t xml:space="preserve">resect Aboriginal ways of knowing and being </w:t>
      </w:r>
    </w:p>
    <w:p w14:paraId="5FF7B481" w14:textId="77777777" w:rsidR="00DE491A" w:rsidRPr="00DE491A" w:rsidRDefault="00DE491A" w:rsidP="00B13429">
      <w:pPr>
        <w:pStyle w:val="BodyText"/>
        <w:numPr>
          <w:ilvl w:val="1"/>
          <w:numId w:val="45"/>
        </w:numPr>
        <w:rPr>
          <w:color w:val="auto"/>
        </w:rPr>
      </w:pPr>
      <w:r w:rsidRPr="00DE491A">
        <w:rPr>
          <w:color w:val="auto"/>
        </w:rPr>
        <w:t xml:space="preserve">respect cultural protocols </w:t>
      </w:r>
    </w:p>
    <w:p w14:paraId="3CD4A79C" w14:textId="77777777" w:rsidR="00DE491A" w:rsidRPr="00DE491A" w:rsidRDefault="00DE491A" w:rsidP="00B13429">
      <w:pPr>
        <w:pStyle w:val="BodyText"/>
        <w:numPr>
          <w:ilvl w:val="1"/>
          <w:numId w:val="45"/>
        </w:numPr>
        <w:rPr>
          <w:color w:val="auto"/>
        </w:rPr>
      </w:pPr>
      <w:r w:rsidRPr="00DE491A">
        <w:rPr>
          <w:color w:val="auto"/>
        </w:rPr>
        <w:t xml:space="preserve">have a clear and transparent scope </w:t>
      </w:r>
    </w:p>
    <w:p w14:paraId="452ED0FB" w14:textId="77777777" w:rsidR="00DE491A" w:rsidRPr="00DE491A" w:rsidRDefault="00DE491A" w:rsidP="00B13429">
      <w:pPr>
        <w:pStyle w:val="BodyText"/>
        <w:numPr>
          <w:ilvl w:val="1"/>
          <w:numId w:val="45"/>
        </w:numPr>
        <w:rPr>
          <w:color w:val="auto"/>
        </w:rPr>
      </w:pPr>
      <w:r w:rsidRPr="00DE491A">
        <w:rPr>
          <w:color w:val="auto"/>
        </w:rPr>
        <w:t xml:space="preserve">recognise and acknowledge prior harm </w:t>
      </w:r>
    </w:p>
    <w:p w14:paraId="301407B3" w14:textId="77777777" w:rsidR="00DE491A" w:rsidRPr="00DE491A" w:rsidRDefault="00DE491A" w:rsidP="00B13429">
      <w:pPr>
        <w:pStyle w:val="BodyText"/>
        <w:numPr>
          <w:ilvl w:val="1"/>
          <w:numId w:val="45"/>
        </w:numPr>
        <w:rPr>
          <w:color w:val="auto"/>
        </w:rPr>
      </w:pPr>
      <w:r w:rsidRPr="00DE491A">
        <w:rPr>
          <w:color w:val="auto"/>
        </w:rPr>
        <w:t xml:space="preserve">provide a safe space for expressing views </w:t>
      </w:r>
    </w:p>
    <w:p w14:paraId="0B7821B1" w14:textId="77777777" w:rsidR="00DE491A" w:rsidRPr="00DE491A" w:rsidRDefault="00DE491A" w:rsidP="00B13429">
      <w:pPr>
        <w:pStyle w:val="BodyText"/>
        <w:numPr>
          <w:ilvl w:val="1"/>
          <w:numId w:val="45"/>
        </w:numPr>
        <w:rPr>
          <w:color w:val="auto"/>
        </w:rPr>
      </w:pPr>
      <w:r w:rsidRPr="00DE491A">
        <w:rPr>
          <w:color w:val="auto"/>
        </w:rPr>
        <w:t xml:space="preserve">tell participants how their data will be stored, shared and distributed </w:t>
      </w:r>
    </w:p>
    <w:p w14:paraId="1AB1379A" w14:textId="4AB88A65" w:rsidR="00DE491A" w:rsidRPr="00DE491A" w:rsidRDefault="00DE491A" w:rsidP="00B13429">
      <w:pPr>
        <w:pStyle w:val="BodyText"/>
        <w:numPr>
          <w:ilvl w:val="1"/>
          <w:numId w:val="45"/>
        </w:numPr>
        <w:rPr>
          <w:color w:val="auto"/>
        </w:rPr>
      </w:pPr>
      <w:r w:rsidRPr="00DE491A">
        <w:rPr>
          <w:color w:val="auto"/>
        </w:rPr>
        <w:t>close the loop</w:t>
      </w:r>
      <w:r w:rsidR="002549D2">
        <w:rPr>
          <w:rStyle w:val="EndnoteReference"/>
          <w:color w:val="auto"/>
        </w:rPr>
        <w:endnoteReference w:id="58"/>
      </w:r>
    </w:p>
    <w:p w14:paraId="678C6F16" w14:textId="6FA7D77E" w:rsidR="008A2F7F" w:rsidRPr="006156FF" w:rsidRDefault="00B4642E" w:rsidP="00B13429">
      <w:pPr>
        <w:pStyle w:val="BodyText"/>
        <w:numPr>
          <w:ilvl w:val="0"/>
          <w:numId w:val="45"/>
        </w:numPr>
        <w:rPr>
          <w:color w:val="auto"/>
          <w:lang w:val="en-GB"/>
        </w:rPr>
      </w:pPr>
      <w:r>
        <w:rPr>
          <w:lang w:val="en-GB"/>
        </w:rPr>
        <w:t xml:space="preserve">The </w:t>
      </w:r>
      <w:r w:rsidR="008A2F7F" w:rsidRPr="006156FF">
        <w:rPr>
          <w:lang w:val="en-GB"/>
        </w:rPr>
        <w:t>Productivity Commission’s review of the National Housing and Homelessness Agreement recommended that</w:t>
      </w:r>
      <w:r w:rsidR="008A2F7F" w:rsidRPr="006156FF">
        <w:t xml:space="preserve"> that </w:t>
      </w:r>
      <w:r w:rsidR="008A2F7F" w:rsidRPr="006156FF">
        <w:rPr>
          <w:rFonts w:eastAsia="Times New Roman" w:cs="Times New Roman"/>
        </w:rPr>
        <w:t>State and Territory Governments should have housing and homelessness strategies in place for improving Aboriginal and Torres Strait Islander outcomes that are developed using co-</w:t>
      </w:r>
      <w:r w:rsidR="008A2F7F" w:rsidRPr="006156FF">
        <w:rPr>
          <w:rFonts w:eastAsia="Times New Roman" w:cs="Times New Roman"/>
          <w:color w:val="auto"/>
        </w:rPr>
        <w:t>design processes</w:t>
      </w:r>
      <w:r w:rsidR="008A2F7F" w:rsidRPr="006156FF">
        <w:rPr>
          <w:color w:val="auto"/>
          <w:vertAlign w:val="superscript"/>
          <w:lang w:val="en-GB"/>
        </w:rPr>
        <w:endnoteReference w:id="59"/>
      </w:r>
      <w:r w:rsidR="00C56B5D" w:rsidRPr="006156FF">
        <w:rPr>
          <w:color w:val="auto"/>
        </w:rPr>
        <w:t>.</w:t>
      </w:r>
    </w:p>
    <w:p w14:paraId="35B90CE2" w14:textId="77777777" w:rsidR="00E626CB" w:rsidRDefault="008A2F7F" w:rsidP="00E626CB">
      <w:pPr>
        <w:pStyle w:val="ListParagraph"/>
        <w:numPr>
          <w:ilvl w:val="0"/>
          <w:numId w:val="45"/>
        </w:numPr>
        <w:suppressAutoHyphens w:val="0"/>
        <w:spacing w:before="120" w:after="120"/>
        <w:ind w:left="357" w:hanging="357"/>
        <w:contextualSpacing w:val="0"/>
        <w:rPr>
          <w:rFonts w:asciiTheme="minorHAnsi" w:hAnsiTheme="minorHAnsi"/>
          <w:color w:val="auto"/>
          <w:sz w:val="22"/>
          <w:szCs w:val="22"/>
        </w:rPr>
      </w:pPr>
      <w:r w:rsidRPr="006156FF">
        <w:rPr>
          <w:rFonts w:asciiTheme="minorHAnsi" w:hAnsiTheme="minorHAnsi"/>
          <w:color w:val="auto"/>
          <w:sz w:val="22"/>
          <w:szCs w:val="22"/>
        </w:rPr>
        <w:t>The Audit Office of NSW recommend</w:t>
      </w:r>
      <w:r w:rsidR="00B4642E">
        <w:rPr>
          <w:rFonts w:asciiTheme="minorHAnsi" w:hAnsiTheme="minorHAnsi"/>
          <w:color w:val="auto"/>
          <w:sz w:val="22"/>
          <w:szCs w:val="22"/>
        </w:rPr>
        <w:t>ed</w:t>
      </w:r>
      <w:r w:rsidRPr="006156FF">
        <w:rPr>
          <w:rFonts w:asciiTheme="minorHAnsi" w:hAnsiTheme="minorHAnsi"/>
          <w:color w:val="auto"/>
          <w:sz w:val="22"/>
          <w:szCs w:val="22"/>
        </w:rPr>
        <w:t xml:space="preserve"> DCJ establish mechanisms to ensure that Aboriginal people and people with lived experience of homelessness have input into key decisions about addressing homelessness</w:t>
      </w:r>
      <w:r w:rsidRPr="006156FF">
        <w:rPr>
          <w:rStyle w:val="EndnoteReference"/>
          <w:rFonts w:asciiTheme="minorHAnsi" w:hAnsiTheme="minorHAnsi"/>
          <w:color w:val="auto"/>
          <w:sz w:val="22"/>
          <w:szCs w:val="22"/>
        </w:rPr>
        <w:endnoteReference w:id="60"/>
      </w:r>
      <w:r w:rsidR="00C56B5D" w:rsidRPr="006156FF">
        <w:rPr>
          <w:rFonts w:asciiTheme="minorHAnsi" w:hAnsiTheme="minorHAnsi"/>
          <w:color w:val="auto"/>
          <w:sz w:val="22"/>
          <w:szCs w:val="22"/>
        </w:rPr>
        <w:t>.</w:t>
      </w:r>
    </w:p>
    <w:p w14:paraId="0D73D82A" w14:textId="3A1794ED" w:rsidR="006332A9" w:rsidRPr="00E626CB" w:rsidRDefault="006332A9" w:rsidP="00E626CB">
      <w:pPr>
        <w:pStyle w:val="ListParagraph"/>
        <w:numPr>
          <w:ilvl w:val="0"/>
          <w:numId w:val="45"/>
        </w:numPr>
        <w:suppressAutoHyphens w:val="0"/>
        <w:spacing w:before="120" w:after="120"/>
        <w:ind w:left="357" w:hanging="357"/>
        <w:rPr>
          <w:rFonts w:asciiTheme="minorHAnsi" w:hAnsiTheme="minorHAnsi"/>
          <w:color w:val="auto"/>
          <w:sz w:val="22"/>
          <w:szCs w:val="22"/>
        </w:rPr>
      </w:pPr>
      <w:r w:rsidRPr="00E626CB">
        <w:rPr>
          <w:rFonts w:asciiTheme="minorHAnsi" w:hAnsiTheme="minorHAnsi"/>
          <w:color w:val="auto"/>
          <w:sz w:val="22"/>
          <w:szCs w:val="22"/>
        </w:rPr>
        <w:t>Evaluation data indicates that a lack of cultural understanding the provision of culturally inappropriate services can act as a key barrier to the delivery of tenancy support programs for Aboriginal clients</w:t>
      </w:r>
      <w:r w:rsidR="00D72C4E">
        <w:rPr>
          <w:rStyle w:val="EndnoteReference"/>
          <w:rFonts w:asciiTheme="minorHAnsi" w:hAnsiTheme="minorHAnsi"/>
          <w:color w:val="auto"/>
          <w:sz w:val="22"/>
          <w:szCs w:val="22"/>
        </w:rPr>
        <w:endnoteReference w:id="61"/>
      </w:r>
      <w:r w:rsidRPr="00E626CB">
        <w:rPr>
          <w:rFonts w:asciiTheme="minorHAnsi" w:hAnsiTheme="minorHAnsi"/>
          <w:color w:val="auto"/>
          <w:sz w:val="22"/>
          <w:szCs w:val="22"/>
        </w:rPr>
        <w:t>. Similarly, critical success factors in implementing Housing First models includes providing services in a culturally appropriate way to better support tenants from diverse backgrounds. </w:t>
      </w:r>
    </w:p>
    <w:p w14:paraId="030A7B01" w14:textId="7EFAA26D" w:rsidR="00DD66C8" w:rsidRPr="006156FF" w:rsidRDefault="00DD66C8" w:rsidP="00DD66C8">
      <w:pPr>
        <w:pStyle w:val="Heading2"/>
        <w:numPr>
          <w:ilvl w:val="0"/>
          <w:numId w:val="0"/>
        </w:numPr>
      </w:pPr>
      <w:r>
        <w:t xml:space="preserve">People with lived experience </w:t>
      </w:r>
      <w:r w:rsidR="00992D5C">
        <w:t>inform service design</w:t>
      </w:r>
    </w:p>
    <w:p w14:paraId="62114967" w14:textId="70361C51" w:rsidR="00992D5C" w:rsidRPr="00126EB0" w:rsidRDefault="00992D5C" w:rsidP="00126EB0">
      <w:pPr>
        <w:pStyle w:val="ListParagraph"/>
        <w:numPr>
          <w:ilvl w:val="0"/>
          <w:numId w:val="45"/>
        </w:numPr>
        <w:suppressAutoHyphens w:val="0"/>
        <w:spacing w:before="120" w:after="120"/>
        <w:ind w:left="357" w:hanging="357"/>
        <w:rPr>
          <w:rFonts w:asciiTheme="minorHAnsi" w:hAnsiTheme="minorHAnsi"/>
          <w:color w:val="auto"/>
          <w:sz w:val="22"/>
          <w:szCs w:val="22"/>
        </w:rPr>
      </w:pPr>
      <w:r w:rsidRPr="00126EB0">
        <w:rPr>
          <w:rFonts w:asciiTheme="minorHAnsi" w:hAnsiTheme="minorHAnsi"/>
          <w:color w:val="auto"/>
          <w:sz w:val="22"/>
          <w:szCs w:val="22"/>
        </w:rPr>
        <w:t>No one understands homelessness better than people who have first-hand experience of it and their insights are invaluable for designing and delivering effective interventions.</w:t>
      </w:r>
      <w:r w:rsidR="00F33FA9" w:rsidRPr="00126EB0">
        <w:rPr>
          <w:rFonts w:asciiTheme="minorHAnsi" w:hAnsiTheme="minorHAnsi"/>
          <w:color w:val="auto"/>
          <w:sz w:val="22"/>
          <w:szCs w:val="22"/>
        </w:rPr>
        <w:t xml:space="preserve"> Evidence suggests that the inclusion of lived experience voices results in improved outcomes for people experiencing homelessness. </w:t>
      </w:r>
    </w:p>
    <w:p w14:paraId="03C39119" w14:textId="7A60EA62" w:rsidR="00472969" w:rsidRDefault="00E626CB" w:rsidP="00B13429">
      <w:pPr>
        <w:pStyle w:val="BodyText"/>
        <w:numPr>
          <w:ilvl w:val="0"/>
          <w:numId w:val="45"/>
        </w:numPr>
        <w:ind w:left="357" w:hanging="357"/>
        <w:rPr>
          <w:color w:val="auto"/>
        </w:rPr>
      </w:pPr>
      <w:r>
        <w:rPr>
          <w:color w:val="auto"/>
        </w:rPr>
        <w:t>‘E</w:t>
      </w:r>
      <w:r w:rsidR="00472969" w:rsidRPr="006156FF">
        <w:rPr>
          <w:color w:val="auto"/>
        </w:rPr>
        <w:t xml:space="preserve">mpowerment’ should be considered in </w:t>
      </w:r>
      <w:r>
        <w:rPr>
          <w:color w:val="auto"/>
        </w:rPr>
        <w:t xml:space="preserve">the </w:t>
      </w:r>
      <w:r w:rsidR="00472969" w:rsidRPr="006156FF">
        <w:rPr>
          <w:color w:val="auto"/>
        </w:rPr>
        <w:t>prevention of homelessness, for example through inclusion of people with lived experience of homelessness that is not tokenistic and that results in change</w:t>
      </w:r>
      <w:r w:rsidR="00472969" w:rsidRPr="006156FF">
        <w:rPr>
          <w:rStyle w:val="EndnoteReference"/>
          <w:color w:val="auto"/>
        </w:rPr>
        <w:endnoteReference w:id="62"/>
      </w:r>
      <w:r w:rsidR="00472969" w:rsidRPr="006156FF">
        <w:rPr>
          <w:color w:val="auto"/>
        </w:rPr>
        <w:t>.</w:t>
      </w:r>
    </w:p>
    <w:p w14:paraId="1286E759" w14:textId="1184EF8D" w:rsidR="00992D5C" w:rsidRPr="00442753" w:rsidRDefault="00A905D6" w:rsidP="00B13429">
      <w:pPr>
        <w:pStyle w:val="BodyText"/>
        <w:numPr>
          <w:ilvl w:val="0"/>
          <w:numId w:val="45"/>
        </w:numPr>
      </w:pPr>
      <w:r w:rsidRPr="006156FF">
        <w:lastRenderedPageBreak/>
        <w:t>A review of the evidence to prevent youth homelessness</w:t>
      </w:r>
      <w:r w:rsidR="006C3651">
        <w:t xml:space="preserve"> </w:t>
      </w:r>
      <w:r w:rsidRPr="006156FF">
        <w:t>found</w:t>
      </w:r>
      <w:r>
        <w:t xml:space="preserve"> that g</w:t>
      </w:r>
      <w:r w:rsidRPr="00442753">
        <w:rPr>
          <w:color w:val="auto"/>
        </w:rPr>
        <w:t>overnment should engage young people with lived experience of homelessness in development of policies, practices, and legislation</w:t>
      </w:r>
      <w:r w:rsidR="00025C38" w:rsidRPr="006156FF">
        <w:rPr>
          <w:rStyle w:val="EndnoteReference"/>
        </w:rPr>
        <w:endnoteReference w:id="63"/>
      </w:r>
      <w:r w:rsidR="006C3651">
        <w:rPr>
          <w:color w:val="auto"/>
        </w:rPr>
        <w:t>.</w:t>
      </w:r>
    </w:p>
    <w:p w14:paraId="7BDE37EF" w14:textId="1D1CC235" w:rsidR="00E0451E" w:rsidRPr="006156FF" w:rsidRDefault="00331B24" w:rsidP="00E0451E">
      <w:pPr>
        <w:pStyle w:val="Heading2"/>
      </w:pPr>
      <w:r>
        <w:t>P</w:t>
      </w:r>
      <w:r w:rsidR="00E0451E" w:rsidRPr="006156FF">
        <w:t>revention</w:t>
      </w:r>
      <w:r>
        <w:t xml:space="preserve"> is prioritised</w:t>
      </w:r>
    </w:p>
    <w:p w14:paraId="1714B8D9" w14:textId="7EA35CF0" w:rsidR="00E0451E" w:rsidRPr="006156FF" w:rsidRDefault="00E0451E" w:rsidP="00B13429">
      <w:pPr>
        <w:pStyle w:val="BodyText"/>
        <w:numPr>
          <w:ilvl w:val="0"/>
          <w:numId w:val="34"/>
        </w:numPr>
        <w:rPr>
          <w:color w:val="auto"/>
          <w:lang w:val="en-GB"/>
        </w:rPr>
      </w:pPr>
      <w:r w:rsidRPr="006156FF">
        <w:rPr>
          <w:color w:val="auto"/>
          <w:lang w:val="en-GB"/>
        </w:rPr>
        <w:t>Homelessness prevention refers to policies, practices, and interventions that reduce the likelihood that someone will experience homelessness and assisting those who have been homeless to reduce the risk of the recurrence of homelessness</w:t>
      </w:r>
      <w:r w:rsidRPr="006156FF">
        <w:rPr>
          <w:rStyle w:val="EndnoteReference"/>
          <w:color w:val="auto"/>
          <w:lang w:val="en-GB"/>
        </w:rPr>
        <w:endnoteReference w:id="64"/>
      </w:r>
      <w:r w:rsidR="00C56B5D" w:rsidRPr="006156FF">
        <w:rPr>
          <w:color w:val="auto"/>
          <w:lang w:val="en-GB"/>
        </w:rPr>
        <w:t>.</w:t>
      </w:r>
      <w:r w:rsidRPr="006156FF">
        <w:rPr>
          <w:color w:val="auto"/>
          <w:lang w:val="en-GB"/>
        </w:rPr>
        <w:t xml:space="preserve"> Gaetz and Dej </w:t>
      </w:r>
      <w:r w:rsidR="004255B6">
        <w:rPr>
          <w:color w:val="auto"/>
          <w:lang w:val="en-GB"/>
        </w:rPr>
        <w:t xml:space="preserve">(2017) </w:t>
      </w:r>
      <w:r w:rsidRPr="006156FF">
        <w:rPr>
          <w:color w:val="auto"/>
          <w:lang w:val="en-GB"/>
        </w:rPr>
        <w:t>argue that homelessness prevention must include interventions targeted at individuals and broader structural reforms directed at addressing the drivers of homelessness such as poverty, lack of affordable housing and family and domestic violence</w:t>
      </w:r>
      <w:r w:rsidRPr="006156FF">
        <w:rPr>
          <w:rStyle w:val="EndnoteReference"/>
          <w:color w:val="auto"/>
          <w:lang w:val="en-GB"/>
        </w:rPr>
        <w:endnoteReference w:id="65"/>
      </w:r>
      <w:r w:rsidR="00C56B5D" w:rsidRPr="006156FF">
        <w:rPr>
          <w:color w:val="auto"/>
          <w:lang w:val="en-GB"/>
        </w:rPr>
        <w:t>.</w:t>
      </w:r>
    </w:p>
    <w:p w14:paraId="11041B66" w14:textId="22B95009" w:rsidR="00E0451E" w:rsidRPr="006156FF" w:rsidRDefault="00E0451E" w:rsidP="00B13429">
      <w:pPr>
        <w:pStyle w:val="BodyText"/>
        <w:numPr>
          <w:ilvl w:val="0"/>
          <w:numId w:val="34"/>
        </w:numPr>
        <w:rPr>
          <w:color w:val="auto"/>
          <w:lang w:val="en-GB"/>
        </w:rPr>
      </w:pPr>
      <w:r w:rsidRPr="006156FF">
        <w:rPr>
          <w:color w:val="auto"/>
          <w:lang w:val="en-GB"/>
        </w:rPr>
        <w:t>Fitzpatrick et al</w:t>
      </w:r>
      <w:r w:rsidR="00E626CB">
        <w:rPr>
          <w:color w:val="auto"/>
          <w:lang w:val="en-GB"/>
        </w:rPr>
        <w:t xml:space="preserve"> (2021)</w:t>
      </w:r>
      <w:r w:rsidRPr="006156FF">
        <w:rPr>
          <w:color w:val="auto"/>
          <w:lang w:val="en-GB"/>
        </w:rPr>
        <w:t xml:space="preserve"> propose 5 types of homelessness prevention that are needed</w:t>
      </w:r>
      <w:r w:rsidR="00E626CB">
        <w:rPr>
          <w:color w:val="auto"/>
          <w:lang w:val="en-GB"/>
        </w:rPr>
        <w:t xml:space="preserve"> -</w:t>
      </w:r>
      <w:r w:rsidRPr="006156FF">
        <w:rPr>
          <w:color w:val="auto"/>
          <w:lang w:val="en-GB"/>
        </w:rPr>
        <w:t xml:space="preserve"> universal, upstream, crisis, emergency and repeat. They found that universal prevention (e.g. affordable housing and poverty reduction), and upstream preventative interventions (focused on high-risk groups) have been deficient to date</w:t>
      </w:r>
      <w:r w:rsidRPr="006156FF">
        <w:rPr>
          <w:rStyle w:val="EndnoteReference"/>
          <w:color w:val="auto"/>
          <w:lang w:val="en-GB"/>
        </w:rPr>
        <w:endnoteReference w:id="66"/>
      </w:r>
      <w:r w:rsidR="00C56B5D" w:rsidRPr="006156FF">
        <w:rPr>
          <w:color w:val="auto"/>
          <w:lang w:val="en-GB"/>
        </w:rPr>
        <w:t>.</w:t>
      </w:r>
    </w:p>
    <w:p w14:paraId="659BE53B" w14:textId="0ECA5F17" w:rsidR="00E0451E" w:rsidRPr="006156FF" w:rsidRDefault="00E0451E" w:rsidP="00B13429">
      <w:pPr>
        <w:pStyle w:val="BodyText"/>
        <w:numPr>
          <w:ilvl w:val="0"/>
          <w:numId w:val="34"/>
        </w:numPr>
        <w:rPr>
          <w:color w:val="auto"/>
          <w:lang w:val="en-GB"/>
        </w:rPr>
      </w:pPr>
      <w:r w:rsidRPr="006156FF">
        <w:rPr>
          <w:color w:val="auto"/>
          <w:lang w:val="en-GB"/>
        </w:rPr>
        <w:t>Flatau et al</w:t>
      </w:r>
      <w:r w:rsidR="00E626CB">
        <w:rPr>
          <w:color w:val="auto"/>
          <w:lang w:val="en-GB"/>
        </w:rPr>
        <w:t xml:space="preserve"> (2021)</w:t>
      </w:r>
      <w:r w:rsidRPr="006156FF">
        <w:rPr>
          <w:color w:val="auto"/>
          <w:lang w:val="en-GB"/>
        </w:rPr>
        <w:t xml:space="preserve"> identif</w:t>
      </w:r>
      <w:r w:rsidR="00E626CB">
        <w:rPr>
          <w:color w:val="auto"/>
          <w:lang w:val="en-GB"/>
        </w:rPr>
        <w:t>ied</w:t>
      </w:r>
      <w:r w:rsidRPr="006156FF">
        <w:rPr>
          <w:color w:val="auto"/>
          <w:lang w:val="en-GB"/>
        </w:rPr>
        <w:t xml:space="preserve"> prevention as one of five key actions to end homelessness in Australia</w:t>
      </w:r>
      <w:r w:rsidR="00E626CB">
        <w:rPr>
          <w:color w:val="auto"/>
          <w:lang w:val="en-GB"/>
        </w:rPr>
        <w:t>, highlighting t</w:t>
      </w:r>
      <w:r w:rsidRPr="006156FF">
        <w:rPr>
          <w:color w:val="auto"/>
          <w:lang w:val="en-GB"/>
        </w:rPr>
        <w:t>argeted prevention and early intervention programs which address the underlying drivers of homelessness in order to turn off the tap of entry into homelessness</w:t>
      </w:r>
      <w:r w:rsidRPr="006156FF">
        <w:rPr>
          <w:rStyle w:val="EndnoteReference"/>
          <w:color w:val="auto"/>
          <w:lang w:val="en-GB"/>
        </w:rPr>
        <w:endnoteReference w:id="67"/>
      </w:r>
      <w:r w:rsidR="00C56B5D" w:rsidRPr="006156FF">
        <w:rPr>
          <w:color w:val="auto"/>
          <w:lang w:val="en-GB"/>
        </w:rPr>
        <w:t>.</w:t>
      </w:r>
    </w:p>
    <w:p w14:paraId="28B5E5B9" w14:textId="1F24AC27" w:rsidR="00E0451E" w:rsidRPr="006156FF" w:rsidRDefault="00E626CB" w:rsidP="00B13429">
      <w:pPr>
        <w:pStyle w:val="BodyText"/>
        <w:numPr>
          <w:ilvl w:val="0"/>
          <w:numId w:val="34"/>
        </w:numPr>
        <w:rPr>
          <w:color w:val="auto"/>
          <w:lang w:val="en-GB"/>
        </w:rPr>
      </w:pPr>
      <w:r>
        <w:rPr>
          <w:color w:val="auto"/>
          <w:lang w:val="en-GB"/>
        </w:rPr>
        <w:t xml:space="preserve">The </w:t>
      </w:r>
      <w:r w:rsidR="00E0451E" w:rsidRPr="006156FF">
        <w:rPr>
          <w:color w:val="auto"/>
          <w:lang w:val="en-GB"/>
        </w:rPr>
        <w:t>Productivity Commission’s review of the National Housing and Homelessness Agreement</w:t>
      </w:r>
      <w:r w:rsidR="00E0451E" w:rsidRPr="006156FF">
        <w:rPr>
          <w:color w:val="auto"/>
          <w:vertAlign w:val="superscript"/>
          <w:lang w:val="en-GB"/>
        </w:rPr>
        <w:endnoteReference w:id="68"/>
      </w:r>
      <w:r w:rsidR="00E0451E" w:rsidRPr="006156FF">
        <w:rPr>
          <w:color w:val="auto"/>
          <w:lang w:val="en-GB"/>
        </w:rPr>
        <w:t xml:space="preserve"> recommended that</w:t>
      </w:r>
      <w:r w:rsidR="00E0451E" w:rsidRPr="006156FF">
        <w:rPr>
          <w:color w:val="auto"/>
        </w:rPr>
        <w:t xml:space="preserve"> that the Australian, State and Territory Governments</w:t>
      </w:r>
      <w:r w:rsidR="00E0451E" w:rsidRPr="006156FF">
        <w:rPr>
          <w:color w:val="auto"/>
          <w:lang w:val="en-GB"/>
        </w:rPr>
        <w:t xml:space="preserve"> e</w:t>
      </w:r>
      <w:r w:rsidR="00E0451E" w:rsidRPr="006156FF">
        <w:rPr>
          <w:color w:val="auto"/>
        </w:rPr>
        <w:t>stablish a separate pool of funding for prevention and early intervention programs to address the causes of homelessness for the main ‘at risk’ cohorts, including but not limited to people leaving health and correctional facilities and care, Aboriginal and Torres Strait Islander people, young people and people needing support to maintain their tenancy.</w:t>
      </w:r>
    </w:p>
    <w:p w14:paraId="653AA327" w14:textId="67CA0855" w:rsidR="00E0451E" w:rsidRPr="006156FF" w:rsidRDefault="00E626CB" w:rsidP="00B13429">
      <w:pPr>
        <w:pStyle w:val="BodyText"/>
        <w:numPr>
          <w:ilvl w:val="0"/>
          <w:numId w:val="34"/>
        </w:numPr>
        <w:rPr>
          <w:color w:val="auto"/>
        </w:rPr>
      </w:pPr>
      <w:r>
        <w:rPr>
          <w:color w:val="auto"/>
        </w:rPr>
        <w:t>Mackie (2023) believes ‘e</w:t>
      </w:r>
      <w:r w:rsidR="00E0451E" w:rsidRPr="006156FF">
        <w:rPr>
          <w:color w:val="auto"/>
        </w:rPr>
        <w:t>ffective universal prevention must be the foundation of any strategy to end homelessness. However, there is also an urgent need to reorient homelessness responses toward upstream and crisis prevention, and away from emergency response. The message from people who have experienced homelessness is that early opportunities to intervene, provide support, and ultimately prevent the harms of homelessness, are too often missed</w:t>
      </w:r>
      <w:r>
        <w:rPr>
          <w:color w:val="auto"/>
        </w:rPr>
        <w:t>’</w:t>
      </w:r>
      <w:r w:rsidR="00E0451E" w:rsidRPr="006156FF">
        <w:rPr>
          <w:color w:val="auto"/>
          <w:vertAlign w:val="superscript"/>
        </w:rPr>
        <w:endnoteReference w:id="69"/>
      </w:r>
      <w:r w:rsidR="00C56B5D" w:rsidRPr="006156FF">
        <w:rPr>
          <w:color w:val="auto"/>
        </w:rPr>
        <w:t>.</w:t>
      </w:r>
    </w:p>
    <w:p w14:paraId="1591EACF" w14:textId="6D65A902" w:rsidR="00E0451E" w:rsidRPr="006156FF" w:rsidRDefault="00E0451E" w:rsidP="00B13429">
      <w:pPr>
        <w:pStyle w:val="ListParagraph"/>
        <w:numPr>
          <w:ilvl w:val="0"/>
          <w:numId w:val="34"/>
        </w:numPr>
        <w:suppressAutoHyphens w:val="0"/>
        <w:spacing w:after="160" w:line="259" w:lineRule="auto"/>
        <w:rPr>
          <w:rFonts w:asciiTheme="minorHAnsi" w:hAnsiTheme="minorHAnsi"/>
          <w:color w:val="auto"/>
          <w:sz w:val="22"/>
          <w:szCs w:val="22"/>
        </w:rPr>
      </w:pPr>
      <w:r w:rsidRPr="006156FF">
        <w:rPr>
          <w:rFonts w:asciiTheme="minorHAnsi" w:hAnsiTheme="minorHAnsi"/>
          <w:color w:val="auto"/>
          <w:sz w:val="22"/>
          <w:szCs w:val="22"/>
        </w:rPr>
        <w:t xml:space="preserve">The House of Representatives Standing Committee on Social Policy and Legal Affairs </w:t>
      </w:r>
      <w:r w:rsidR="004255B6">
        <w:rPr>
          <w:rFonts w:asciiTheme="minorHAnsi" w:hAnsiTheme="minorHAnsi"/>
          <w:color w:val="auto"/>
          <w:sz w:val="22"/>
          <w:szCs w:val="22"/>
        </w:rPr>
        <w:t>I</w:t>
      </w:r>
      <w:r w:rsidRPr="006156FF">
        <w:rPr>
          <w:rFonts w:asciiTheme="minorHAnsi" w:hAnsiTheme="minorHAnsi"/>
          <w:color w:val="auto"/>
          <w:sz w:val="22"/>
          <w:szCs w:val="22"/>
        </w:rPr>
        <w:t>nquiry into homelessness in Australia</w:t>
      </w:r>
      <w:r w:rsidRPr="006156FF">
        <w:rPr>
          <w:rStyle w:val="EndnoteReference"/>
          <w:rFonts w:asciiTheme="minorHAnsi" w:hAnsiTheme="minorHAnsi"/>
          <w:color w:val="auto"/>
          <w:sz w:val="22"/>
          <w:szCs w:val="22"/>
        </w:rPr>
        <w:endnoteReference w:id="70"/>
      </w:r>
      <w:r w:rsidRPr="006156FF">
        <w:rPr>
          <w:rFonts w:asciiTheme="minorHAnsi" w:hAnsiTheme="minorHAnsi"/>
          <w:color w:val="auto"/>
          <w:sz w:val="22"/>
          <w:szCs w:val="22"/>
        </w:rPr>
        <w:t xml:space="preserve"> recommend</w:t>
      </w:r>
      <w:r w:rsidR="00E626CB">
        <w:rPr>
          <w:rFonts w:asciiTheme="minorHAnsi" w:hAnsiTheme="minorHAnsi"/>
          <w:color w:val="auto"/>
          <w:sz w:val="22"/>
          <w:szCs w:val="22"/>
        </w:rPr>
        <w:t>ed</w:t>
      </w:r>
      <w:r w:rsidRPr="006156FF">
        <w:rPr>
          <w:rFonts w:asciiTheme="minorHAnsi" w:hAnsiTheme="minorHAnsi"/>
          <w:color w:val="auto"/>
          <w:sz w:val="22"/>
          <w:szCs w:val="22"/>
        </w:rPr>
        <w:t xml:space="preserve"> that a more integrated ‘place-based’ approach to homelessness prevention and early intervention be developed that includes: </w:t>
      </w:r>
    </w:p>
    <w:p w14:paraId="19E9C04C" w14:textId="701197C7" w:rsidR="00E0451E" w:rsidRPr="006156FF" w:rsidRDefault="00E0451E" w:rsidP="00B13429">
      <w:pPr>
        <w:pStyle w:val="ListParagraph"/>
        <w:numPr>
          <w:ilvl w:val="0"/>
          <w:numId w:val="35"/>
        </w:numPr>
        <w:suppressAutoHyphens w:val="0"/>
        <w:spacing w:after="120" w:line="259" w:lineRule="auto"/>
        <w:ind w:left="1077" w:hanging="357"/>
        <w:contextualSpacing w:val="0"/>
        <w:rPr>
          <w:rFonts w:asciiTheme="minorHAnsi" w:hAnsiTheme="minorHAnsi"/>
          <w:color w:val="auto"/>
          <w:sz w:val="22"/>
          <w:szCs w:val="22"/>
        </w:rPr>
      </w:pPr>
      <w:r w:rsidRPr="006156FF">
        <w:rPr>
          <w:rFonts w:asciiTheme="minorHAnsi" w:hAnsiTheme="minorHAnsi"/>
          <w:color w:val="auto"/>
          <w:sz w:val="22"/>
          <w:szCs w:val="22"/>
        </w:rPr>
        <w:t xml:space="preserve">establishing a national strategic framework for prevention and early intervention </w:t>
      </w:r>
    </w:p>
    <w:p w14:paraId="3782E6D2" w14:textId="459A88B2" w:rsidR="00E0451E" w:rsidRPr="006156FF" w:rsidRDefault="00E0451E" w:rsidP="00B13429">
      <w:pPr>
        <w:pStyle w:val="ListParagraph"/>
        <w:numPr>
          <w:ilvl w:val="0"/>
          <w:numId w:val="35"/>
        </w:numPr>
        <w:suppressAutoHyphens w:val="0"/>
        <w:spacing w:after="120" w:line="259" w:lineRule="auto"/>
        <w:ind w:left="1077" w:hanging="357"/>
        <w:contextualSpacing w:val="0"/>
        <w:rPr>
          <w:rFonts w:asciiTheme="minorHAnsi" w:hAnsiTheme="minorHAnsi"/>
          <w:color w:val="auto"/>
          <w:sz w:val="22"/>
          <w:szCs w:val="22"/>
        </w:rPr>
      </w:pPr>
      <w:r w:rsidRPr="006156FF">
        <w:rPr>
          <w:rFonts w:asciiTheme="minorHAnsi" w:hAnsiTheme="minorHAnsi"/>
          <w:color w:val="auto"/>
          <w:sz w:val="22"/>
          <w:szCs w:val="22"/>
        </w:rPr>
        <w:t xml:space="preserve">identifying the structural support and resources required to support ‘place-based’ programs </w:t>
      </w:r>
    </w:p>
    <w:p w14:paraId="33DDDD82" w14:textId="77777777" w:rsidR="00E0451E" w:rsidRPr="006156FF" w:rsidRDefault="00E0451E" w:rsidP="00B13429">
      <w:pPr>
        <w:pStyle w:val="ListParagraph"/>
        <w:numPr>
          <w:ilvl w:val="0"/>
          <w:numId w:val="35"/>
        </w:numPr>
        <w:suppressAutoHyphens w:val="0"/>
        <w:spacing w:after="120" w:line="259" w:lineRule="auto"/>
        <w:ind w:left="1077" w:hanging="357"/>
        <w:contextualSpacing w:val="0"/>
        <w:rPr>
          <w:rFonts w:asciiTheme="minorHAnsi" w:hAnsiTheme="minorHAnsi"/>
          <w:color w:val="auto"/>
          <w:sz w:val="22"/>
          <w:szCs w:val="22"/>
        </w:rPr>
      </w:pPr>
      <w:r w:rsidRPr="006156FF">
        <w:rPr>
          <w:rFonts w:asciiTheme="minorHAnsi" w:hAnsiTheme="minorHAnsi"/>
          <w:color w:val="auto"/>
          <w:sz w:val="22"/>
          <w:szCs w:val="22"/>
        </w:rPr>
        <w:t xml:space="preserve">funding for ‘place-based’ research and pilot programs. </w:t>
      </w:r>
    </w:p>
    <w:p w14:paraId="6187882F" w14:textId="77777777" w:rsidR="00E0451E" w:rsidRPr="006156FF" w:rsidRDefault="00E0451E" w:rsidP="00B13429">
      <w:pPr>
        <w:pStyle w:val="ListParagraph"/>
        <w:numPr>
          <w:ilvl w:val="0"/>
          <w:numId w:val="37"/>
        </w:numPr>
        <w:rPr>
          <w:rFonts w:asciiTheme="minorHAnsi" w:hAnsiTheme="minorHAnsi"/>
          <w:color w:val="auto"/>
          <w:sz w:val="22"/>
          <w:szCs w:val="22"/>
        </w:rPr>
      </w:pPr>
      <w:r w:rsidRPr="006156FF">
        <w:rPr>
          <w:rFonts w:asciiTheme="minorHAnsi" w:hAnsiTheme="minorHAnsi"/>
          <w:color w:val="auto"/>
          <w:sz w:val="22"/>
          <w:szCs w:val="22"/>
        </w:rPr>
        <w:t>Recognising the importance of stopping homelessness early in life, the inquiry also recommends a focus on prevention and early intervention of youth homelessness.</w:t>
      </w:r>
    </w:p>
    <w:p w14:paraId="2780699D" w14:textId="77777777" w:rsidR="00E0451E" w:rsidRPr="006156FF" w:rsidRDefault="00E0451E" w:rsidP="00B13429">
      <w:pPr>
        <w:pStyle w:val="BodyText"/>
        <w:numPr>
          <w:ilvl w:val="0"/>
          <w:numId w:val="37"/>
        </w:numPr>
      </w:pPr>
      <w:r w:rsidRPr="006156FF">
        <w:t>A review of the evidence to prevent youth homelessness</w:t>
      </w:r>
      <w:r w:rsidRPr="006156FF">
        <w:rPr>
          <w:rStyle w:val="EndnoteReference"/>
        </w:rPr>
        <w:endnoteReference w:id="71"/>
      </w:r>
      <w:r w:rsidRPr="006156FF">
        <w:t xml:space="preserve"> found:</w:t>
      </w:r>
    </w:p>
    <w:p w14:paraId="04606D27" w14:textId="77777777" w:rsidR="00E0451E" w:rsidRPr="006156FF" w:rsidRDefault="00E0451E" w:rsidP="00B13429">
      <w:pPr>
        <w:pStyle w:val="ListParagraph"/>
        <w:numPr>
          <w:ilvl w:val="0"/>
          <w:numId w:val="36"/>
        </w:numPr>
        <w:suppressAutoHyphens w:val="0"/>
        <w:spacing w:after="120"/>
        <w:ind w:left="765" w:hanging="357"/>
        <w:contextualSpacing w:val="0"/>
        <w:rPr>
          <w:rFonts w:asciiTheme="minorHAnsi" w:hAnsiTheme="minorHAnsi"/>
          <w:color w:val="auto"/>
          <w:sz w:val="22"/>
          <w:szCs w:val="22"/>
        </w:rPr>
      </w:pPr>
      <w:r w:rsidRPr="006156FF">
        <w:rPr>
          <w:rFonts w:asciiTheme="minorHAnsi" w:hAnsiTheme="minorHAnsi"/>
          <w:color w:val="auto"/>
          <w:sz w:val="22"/>
          <w:szCs w:val="22"/>
        </w:rPr>
        <w:t>Government should engage young people with lived experience of homelessness in development of policies, practices, and legislation</w:t>
      </w:r>
    </w:p>
    <w:p w14:paraId="02481EBA" w14:textId="77777777" w:rsidR="00E0451E" w:rsidRPr="006156FF" w:rsidRDefault="00E0451E" w:rsidP="00B13429">
      <w:pPr>
        <w:pStyle w:val="ListParagraph"/>
        <w:numPr>
          <w:ilvl w:val="0"/>
          <w:numId w:val="36"/>
        </w:numPr>
        <w:suppressAutoHyphens w:val="0"/>
        <w:spacing w:after="120"/>
        <w:ind w:left="765" w:hanging="357"/>
        <w:contextualSpacing w:val="0"/>
        <w:rPr>
          <w:rFonts w:asciiTheme="minorHAnsi" w:hAnsiTheme="minorHAnsi"/>
          <w:color w:val="auto"/>
          <w:sz w:val="22"/>
          <w:szCs w:val="22"/>
        </w:rPr>
      </w:pPr>
      <w:r w:rsidRPr="006156FF">
        <w:rPr>
          <w:rFonts w:asciiTheme="minorHAnsi" w:hAnsiTheme="minorHAnsi"/>
          <w:color w:val="auto"/>
          <w:sz w:val="22"/>
          <w:szCs w:val="22"/>
        </w:rPr>
        <w:t>A need to adopt a cross-govt commitment to prevent youth homelessness</w:t>
      </w:r>
    </w:p>
    <w:p w14:paraId="23CF89D5" w14:textId="77777777" w:rsidR="00E0451E" w:rsidRPr="006156FF" w:rsidRDefault="00E0451E" w:rsidP="00B13429">
      <w:pPr>
        <w:pStyle w:val="ListParagraph"/>
        <w:numPr>
          <w:ilvl w:val="0"/>
          <w:numId w:val="36"/>
        </w:numPr>
        <w:suppressAutoHyphens w:val="0"/>
        <w:spacing w:after="120"/>
        <w:ind w:left="765" w:hanging="357"/>
        <w:contextualSpacing w:val="0"/>
        <w:rPr>
          <w:rFonts w:asciiTheme="minorHAnsi" w:hAnsiTheme="minorHAnsi"/>
          <w:color w:val="auto"/>
          <w:sz w:val="22"/>
          <w:szCs w:val="22"/>
        </w:rPr>
      </w:pPr>
      <w:r w:rsidRPr="006156FF">
        <w:rPr>
          <w:rFonts w:asciiTheme="minorHAnsi" w:hAnsiTheme="minorHAnsi"/>
          <w:color w:val="auto"/>
          <w:sz w:val="22"/>
          <w:szCs w:val="22"/>
        </w:rPr>
        <w:t xml:space="preserve">Initiatives should address all structural and systems prevention, early intervention, eviction prevention and housing stabilisation </w:t>
      </w:r>
    </w:p>
    <w:p w14:paraId="6BE77610" w14:textId="77777777" w:rsidR="00E0451E" w:rsidRPr="006156FF" w:rsidRDefault="00E0451E" w:rsidP="00B13429">
      <w:pPr>
        <w:pStyle w:val="ListParagraph"/>
        <w:numPr>
          <w:ilvl w:val="0"/>
          <w:numId w:val="36"/>
        </w:numPr>
        <w:suppressAutoHyphens w:val="0"/>
        <w:spacing w:after="120"/>
        <w:ind w:left="765" w:hanging="357"/>
        <w:contextualSpacing w:val="0"/>
        <w:rPr>
          <w:rFonts w:asciiTheme="minorHAnsi" w:hAnsiTheme="minorHAnsi"/>
          <w:color w:val="auto"/>
          <w:sz w:val="22"/>
          <w:szCs w:val="22"/>
        </w:rPr>
      </w:pPr>
      <w:r w:rsidRPr="006156FF">
        <w:rPr>
          <w:rFonts w:asciiTheme="minorHAnsi" w:hAnsiTheme="minorHAnsi"/>
          <w:color w:val="auto"/>
          <w:sz w:val="22"/>
          <w:szCs w:val="22"/>
        </w:rPr>
        <w:t>A screening tool should be developed to identify youth at risk of homelessness adapted for all public systems</w:t>
      </w:r>
    </w:p>
    <w:p w14:paraId="29A931CF" w14:textId="77777777" w:rsidR="00E0451E" w:rsidRPr="006156FF" w:rsidRDefault="00E0451E" w:rsidP="00B13429">
      <w:pPr>
        <w:pStyle w:val="ListParagraph"/>
        <w:numPr>
          <w:ilvl w:val="0"/>
          <w:numId w:val="36"/>
        </w:numPr>
        <w:suppressAutoHyphens w:val="0"/>
        <w:spacing w:after="120"/>
        <w:ind w:left="765" w:hanging="357"/>
        <w:contextualSpacing w:val="0"/>
        <w:rPr>
          <w:rFonts w:asciiTheme="minorHAnsi" w:hAnsiTheme="minorHAnsi"/>
          <w:color w:val="auto"/>
          <w:sz w:val="22"/>
          <w:szCs w:val="22"/>
        </w:rPr>
      </w:pPr>
      <w:r w:rsidRPr="006156FF">
        <w:rPr>
          <w:rFonts w:asciiTheme="minorHAnsi" w:hAnsiTheme="minorHAnsi"/>
          <w:color w:val="auto"/>
          <w:sz w:val="22"/>
          <w:szCs w:val="22"/>
        </w:rPr>
        <w:t>The need to raise awareness of available services and supports</w:t>
      </w:r>
    </w:p>
    <w:p w14:paraId="5AE89E8D" w14:textId="77777777" w:rsidR="00E0451E" w:rsidRPr="006156FF" w:rsidRDefault="00E0451E" w:rsidP="00B13429">
      <w:pPr>
        <w:pStyle w:val="ListParagraph"/>
        <w:numPr>
          <w:ilvl w:val="0"/>
          <w:numId w:val="38"/>
        </w:numPr>
        <w:suppressAutoHyphens w:val="0"/>
        <w:spacing w:after="120"/>
        <w:ind w:left="765" w:hanging="357"/>
        <w:contextualSpacing w:val="0"/>
        <w:rPr>
          <w:rFonts w:asciiTheme="minorHAnsi" w:hAnsiTheme="minorHAnsi"/>
          <w:color w:val="auto"/>
          <w:sz w:val="22"/>
          <w:szCs w:val="22"/>
        </w:rPr>
      </w:pPr>
      <w:r w:rsidRPr="006156FF">
        <w:rPr>
          <w:rFonts w:asciiTheme="minorHAnsi" w:hAnsiTheme="minorHAnsi"/>
          <w:color w:val="auto"/>
          <w:sz w:val="22"/>
          <w:szCs w:val="22"/>
        </w:rPr>
        <w:lastRenderedPageBreak/>
        <w:t>Work is needed to prevent exits into homelessness from Government institutions with effective exit planning and aftercare</w:t>
      </w:r>
    </w:p>
    <w:p w14:paraId="29176496" w14:textId="77777777" w:rsidR="00E0451E" w:rsidRPr="006156FF" w:rsidRDefault="00E0451E" w:rsidP="00B13429">
      <w:pPr>
        <w:pStyle w:val="ListParagraph"/>
        <w:numPr>
          <w:ilvl w:val="0"/>
          <w:numId w:val="38"/>
        </w:numPr>
        <w:suppressAutoHyphens w:val="0"/>
        <w:spacing w:after="120"/>
        <w:ind w:left="765" w:hanging="357"/>
        <w:contextualSpacing w:val="0"/>
        <w:rPr>
          <w:rFonts w:asciiTheme="minorHAnsi" w:hAnsiTheme="minorHAnsi"/>
          <w:color w:val="auto"/>
          <w:sz w:val="22"/>
          <w:szCs w:val="22"/>
        </w:rPr>
      </w:pPr>
      <w:r w:rsidRPr="006156FF">
        <w:rPr>
          <w:rFonts w:asciiTheme="minorHAnsi" w:hAnsiTheme="minorHAnsi"/>
          <w:color w:val="auto"/>
          <w:sz w:val="22"/>
          <w:szCs w:val="22"/>
        </w:rPr>
        <w:t>Length of support should be based on need and for extended time and youth should have choice and voice</w:t>
      </w:r>
    </w:p>
    <w:p w14:paraId="017A8E69" w14:textId="77777777" w:rsidR="00E0451E" w:rsidRPr="006156FF" w:rsidRDefault="00E0451E" w:rsidP="00B13429">
      <w:pPr>
        <w:pStyle w:val="ListParagraph"/>
        <w:numPr>
          <w:ilvl w:val="0"/>
          <w:numId w:val="38"/>
        </w:numPr>
        <w:suppressAutoHyphens w:val="0"/>
        <w:spacing w:after="120"/>
        <w:ind w:left="765" w:hanging="357"/>
        <w:contextualSpacing w:val="0"/>
        <w:rPr>
          <w:rFonts w:asciiTheme="minorHAnsi" w:hAnsiTheme="minorHAnsi"/>
          <w:color w:val="auto"/>
          <w:sz w:val="22"/>
          <w:szCs w:val="22"/>
        </w:rPr>
      </w:pPr>
      <w:r w:rsidRPr="006156FF">
        <w:rPr>
          <w:rFonts w:asciiTheme="minorHAnsi" w:hAnsiTheme="minorHAnsi"/>
          <w:color w:val="auto"/>
          <w:sz w:val="22"/>
          <w:szCs w:val="22"/>
        </w:rPr>
        <w:t xml:space="preserve">Homelessness legislation should focus on preventing youth homelessness and youth discharges from public systems </w:t>
      </w:r>
    </w:p>
    <w:p w14:paraId="55B6034C" w14:textId="77777777" w:rsidR="00E0451E" w:rsidRPr="006156FF" w:rsidRDefault="00E0451E" w:rsidP="00B13429">
      <w:pPr>
        <w:pStyle w:val="ListParagraph"/>
        <w:numPr>
          <w:ilvl w:val="0"/>
          <w:numId w:val="38"/>
        </w:numPr>
        <w:suppressAutoHyphens w:val="0"/>
        <w:spacing w:after="120"/>
        <w:ind w:left="765" w:hanging="357"/>
        <w:contextualSpacing w:val="0"/>
        <w:rPr>
          <w:rFonts w:asciiTheme="minorHAnsi" w:hAnsiTheme="minorHAnsi"/>
          <w:color w:val="auto"/>
          <w:sz w:val="22"/>
          <w:szCs w:val="22"/>
        </w:rPr>
      </w:pPr>
      <w:r w:rsidRPr="006156FF">
        <w:rPr>
          <w:rFonts w:asciiTheme="minorHAnsi" w:hAnsiTheme="minorHAnsi"/>
          <w:color w:val="auto"/>
          <w:sz w:val="22"/>
          <w:szCs w:val="22"/>
        </w:rPr>
        <w:t>Need for investment in affordable housing and evidence-based models of youth housing, e.g. Housing First for Youth, Host Homes, and Foyer. To be grounded in principles of youth choice, youth voice, and self-determination.</w:t>
      </w:r>
    </w:p>
    <w:p w14:paraId="42A95A72" w14:textId="238CF978" w:rsidR="00E0451E" w:rsidRPr="006156FF" w:rsidRDefault="00E0451E" w:rsidP="00B13429">
      <w:pPr>
        <w:pStyle w:val="ListParagraph"/>
        <w:numPr>
          <w:ilvl w:val="0"/>
          <w:numId w:val="40"/>
        </w:numPr>
        <w:suppressAutoHyphens w:val="0"/>
        <w:spacing w:after="120" w:line="259" w:lineRule="auto"/>
        <w:ind w:left="357" w:hanging="357"/>
        <w:contextualSpacing w:val="0"/>
        <w:rPr>
          <w:rFonts w:asciiTheme="minorHAnsi" w:hAnsiTheme="minorHAnsi"/>
          <w:color w:val="auto"/>
          <w:sz w:val="22"/>
          <w:szCs w:val="22"/>
        </w:rPr>
      </w:pPr>
      <w:r w:rsidRPr="006156FF">
        <w:rPr>
          <w:rFonts w:asciiTheme="minorHAnsi" w:hAnsiTheme="minorHAnsi"/>
          <w:color w:val="auto"/>
          <w:sz w:val="22"/>
          <w:szCs w:val="22"/>
          <w:lang w:eastAsia="en-AU"/>
        </w:rPr>
        <w:t xml:space="preserve">The </w:t>
      </w:r>
      <w:r w:rsidRPr="006156FF">
        <w:rPr>
          <w:rFonts w:asciiTheme="minorHAnsi" w:hAnsiTheme="minorHAnsi"/>
          <w:color w:val="auto"/>
          <w:sz w:val="22"/>
          <w:szCs w:val="22"/>
        </w:rPr>
        <w:t xml:space="preserve">NSW Legislative Council Standing Committee on Social Issues </w:t>
      </w:r>
      <w:r w:rsidR="00E626CB">
        <w:rPr>
          <w:rFonts w:asciiTheme="minorHAnsi" w:hAnsiTheme="minorHAnsi"/>
          <w:color w:val="auto"/>
          <w:sz w:val="22"/>
          <w:szCs w:val="22"/>
        </w:rPr>
        <w:t>I</w:t>
      </w:r>
      <w:r w:rsidRPr="006156FF">
        <w:rPr>
          <w:rFonts w:asciiTheme="minorHAnsi" w:hAnsiTheme="minorHAnsi"/>
          <w:color w:val="auto"/>
          <w:sz w:val="22"/>
          <w:szCs w:val="22"/>
        </w:rPr>
        <w:t>nquiry into homelessness amongst older people aged over 55 in New South Wales</w:t>
      </w:r>
      <w:r w:rsidRPr="006156FF">
        <w:rPr>
          <w:rStyle w:val="EndnoteReference"/>
          <w:rFonts w:asciiTheme="minorHAnsi" w:hAnsiTheme="minorHAnsi"/>
          <w:color w:val="auto"/>
          <w:sz w:val="22"/>
          <w:szCs w:val="22"/>
        </w:rPr>
        <w:endnoteReference w:id="72"/>
      </w:r>
      <w:r w:rsidRPr="006156FF">
        <w:rPr>
          <w:rFonts w:asciiTheme="minorHAnsi" w:hAnsiTheme="minorHAnsi"/>
          <w:color w:val="auto"/>
          <w:sz w:val="22"/>
          <w:szCs w:val="22"/>
        </w:rPr>
        <w:t xml:space="preserve"> recommend</w:t>
      </w:r>
      <w:r w:rsidR="00E626CB">
        <w:rPr>
          <w:rFonts w:asciiTheme="minorHAnsi" w:hAnsiTheme="minorHAnsi"/>
          <w:color w:val="auto"/>
          <w:sz w:val="22"/>
          <w:szCs w:val="22"/>
        </w:rPr>
        <w:t>ed</w:t>
      </w:r>
      <w:r w:rsidRPr="006156FF">
        <w:rPr>
          <w:rFonts w:asciiTheme="minorHAnsi" w:hAnsiTheme="minorHAnsi"/>
          <w:color w:val="auto"/>
          <w:sz w:val="22"/>
          <w:szCs w:val="22"/>
        </w:rPr>
        <w:t>:</w:t>
      </w:r>
    </w:p>
    <w:p w14:paraId="75FF9290" w14:textId="77777777" w:rsidR="00E0451E" w:rsidRPr="006156FF" w:rsidRDefault="00E0451E" w:rsidP="00B13429">
      <w:pPr>
        <w:pStyle w:val="ListParagraph"/>
        <w:numPr>
          <w:ilvl w:val="0"/>
          <w:numId w:val="39"/>
        </w:numPr>
        <w:suppressAutoHyphens w:val="0"/>
        <w:spacing w:after="120" w:line="259" w:lineRule="auto"/>
        <w:ind w:left="765" w:hanging="357"/>
        <w:contextualSpacing w:val="0"/>
        <w:rPr>
          <w:rFonts w:asciiTheme="minorHAnsi" w:hAnsiTheme="minorHAnsi"/>
          <w:color w:val="auto"/>
          <w:sz w:val="22"/>
          <w:szCs w:val="22"/>
        </w:rPr>
      </w:pPr>
      <w:r w:rsidRPr="006156FF">
        <w:rPr>
          <w:rFonts w:asciiTheme="minorHAnsi" w:hAnsiTheme="minorHAnsi"/>
          <w:color w:val="auto"/>
          <w:sz w:val="22"/>
          <w:szCs w:val="22"/>
        </w:rPr>
        <w:t>a community awareness campaign targeted to older people about the risks of homelessness</w:t>
      </w:r>
    </w:p>
    <w:p w14:paraId="68A6A5A1" w14:textId="77777777" w:rsidR="00E0451E" w:rsidRPr="006156FF" w:rsidRDefault="00E0451E" w:rsidP="00B13429">
      <w:pPr>
        <w:pStyle w:val="ListParagraph"/>
        <w:numPr>
          <w:ilvl w:val="0"/>
          <w:numId w:val="39"/>
        </w:numPr>
        <w:suppressAutoHyphens w:val="0"/>
        <w:spacing w:after="120" w:line="259" w:lineRule="auto"/>
        <w:ind w:left="765" w:hanging="357"/>
        <w:contextualSpacing w:val="0"/>
        <w:rPr>
          <w:rFonts w:asciiTheme="minorHAnsi" w:hAnsiTheme="minorHAnsi"/>
          <w:color w:val="auto"/>
          <w:sz w:val="22"/>
          <w:szCs w:val="22"/>
        </w:rPr>
      </w:pPr>
      <w:r w:rsidRPr="006156FF">
        <w:rPr>
          <w:rFonts w:asciiTheme="minorHAnsi" w:hAnsiTheme="minorHAnsi"/>
          <w:color w:val="auto"/>
          <w:sz w:val="22"/>
          <w:szCs w:val="22"/>
        </w:rPr>
        <w:t>establishment of a specialist housing information and support service for older people, like the Home at Last model in Victoria</w:t>
      </w:r>
    </w:p>
    <w:p w14:paraId="5C2D137D" w14:textId="77777777" w:rsidR="00E0451E" w:rsidRPr="006156FF" w:rsidRDefault="00E0451E" w:rsidP="00B13429">
      <w:pPr>
        <w:pStyle w:val="ListParagraph"/>
        <w:numPr>
          <w:ilvl w:val="0"/>
          <w:numId w:val="39"/>
        </w:numPr>
        <w:suppressAutoHyphens w:val="0"/>
        <w:spacing w:after="120" w:line="259" w:lineRule="auto"/>
        <w:ind w:left="765" w:hanging="357"/>
        <w:contextualSpacing w:val="0"/>
        <w:rPr>
          <w:rFonts w:asciiTheme="minorHAnsi" w:hAnsiTheme="minorHAnsi"/>
          <w:color w:val="auto"/>
          <w:sz w:val="22"/>
          <w:szCs w:val="22"/>
        </w:rPr>
      </w:pPr>
      <w:r w:rsidRPr="006156FF">
        <w:rPr>
          <w:rFonts w:asciiTheme="minorHAnsi" w:hAnsiTheme="minorHAnsi"/>
          <w:color w:val="auto"/>
          <w:sz w:val="22"/>
          <w:szCs w:val="22"/>
        </w:rPr>
        <w:t xml:space="preserve">training and education to help frontline service providers understand the diverse experiences of older people and homelessness, and how to appropriately support them </w:t>
      </w:r>
    </w:p>
    <w:p w14:paraId="485181DE" w14:textId="77777777" w:rsidR="00E0451E" w:rsidRPr="006156FF" w:rsidRDefault="00E0451E" w:rsidP="00B13429">
      <w:pPr>
        <w:pStyle w:val="ListParagraph"/>
        <w:numPr>
          <w:ilvl w:val="0"/>
          <w:numId w:val="39"/>
        </w:numPr>
        <w:suppressAutoHyphens w:val="0"/>
        <w:spacing w:after="120" w:line="259" w:lineRule="auto"/>
        <w:ind w:left="765" w:hanging="357"/>
        <w:contextualSpacing w:val="0"/>
        <w:rPr>
          <w:rFonts w:asciiTheme="minorHAnsi" w:hAnsiTheme="minorHAnsi"/>
          <w:color w:val="auto"/>
          <w:sz w:val="22"/>
          <w:szCs w:val="22"/>
        </w:rPr>
      </w:pPr>
      <w:r w:rsidRPr="006156FF">
        <w:rPr>
          <w:rFonts w:asciiTheme="minorHAnsi" w:hAnsiTheme="minorHAnsi"/>
          <w:color w:val="auto"/>
          <w:sz w:val="22"/>
          <w:szCs w:val="22"/>
        </w:rPr>
        <w:t xml:space="preserve">education for health professionals, social workers, police, and other service providers about domestic and family violence as it manifests for older women and their families.  </w:t>
      </w:r>
    </w:p>
    <w:p w14:paraId="79F00B38" w14:textId="6528DD6F" w:rsidR="00E0451E" w:rsidRPr="006156FF" w:rsidRDefault="00E0451E" w:rsidP="00B13429">
      <w:pPr>
        <w:pStyle w:val="BodyText"/>
        <w:numPr>
          <w:ilvl w:val="0"/>
          <w:numId w:val="41"/>
        </w:numPr>
        <w:ind w:left="357" w:hanging="357"/>
        <w:rPr>
          <w:lang w:val="en-GB"/>
        </w:rPr>
      </w:pPr>
      <w:r w:rsidRPr="006156FF">
        <w:rPr>
          <w:lang w:val="en-GB"/>
        </w:rPr>
        <w:t xml:space="preserve">Prevention of homelessness is included as one of the three outcome areas in the Homelessness NSW Theory of Change for systemic reform to end homelessness together. This is based on input from </w:t>
      </w:r>
      <w:r w:rsidRPr="006156FF">
        <w:t>more than 200 organisations and over 650 people including people with lived experience of homelessness and service providers</w:t>
      </w:r>
      <w:r w:rsidRPr="006156FF">
        <w:rPr>
          <w:rStyle w:val="EndnoteReference"/>
        </w:rPr>
        <w:endnoteReference w:id="73"/>
      </w:r>
      <w:r w:rsidR="00C56B5D" w:rsidRPr="006156FF">
        <w:t>.</w:t>
      </w:r>
    </w:p>
    <w:p w14:paraId="1B12CA60" w14:textId="79DC127E" w:rsidR="00331B24" w:rsidRPr="006156FF" w:rsidRDefault="00331B24" w:rsidP="00331B24">
      <w:pPr>
        <w:pStyle w:val="Heading2"/>
      </w:pPr>
      <w:r w:rsidRPr="006156FF">
        <w:t xml:space="preserve">Housing First </w:t>
      </w:r>
      <w:r>
        <w:t>principles are embedded in policy and practice</w:t>
      </w:r>
    </w:p>
    <w:p w14:paraId="3AEA7D72" w14:textId="77777777" w:rsidR="00331B24" w:rsidRPr="006156FF" w:rsidRDefault="00331B24" w:rsidP="00B13429">
      <w:pPr>
        <w:pStyle w:val="ListParagraph"/>
        <w:numPr>
          <w:ilvl w:val="0"/>
          <w:numId w:val="46"/>
        </w:numPr>
        <w:suppressAutoHyphens w:val="0"/>
        <w:spacing w:after="120"/>
        <w:ind w:left="357" w:hanging="357"/>
        <w:contextualSpacing w:val="0"/>
        <w:rPr>
          <w:rFonts w:asciiTheme="minorHAnsi" w:hAnsiTheme="minorHAnsi"/>
          <w:color w:val="auto"/>
          <w:sz w:val="22"/>
          <w:szCs w:val="22"/>
          <w:lang w:eastAsia="en-AU"/>
        </w:rPr>
      </w:pPr>
      <w:r w:rsidRPr="006156FF">
        <w:rPr>
          <w:rFonts w:asciiTheme="minorHAnsi" w:hAnsiTheme="minorHAnsi"/>
          <w:color w:val="auto"/>
          <w:sz w:val="22"/>
          <w:szCs w:val="22"/>
          <w:lang w:eastAsia="en-AU"/>
        </w:rPr>
        <w:t>Housing First offers people with high and complex needs experiencing homelessness immediate access to permanent housing and voluntary wrap around support</w:t>
      </w:r>
      <w:bookmarkStart w:id="10" w:name="_Ref158980139"/>
      <w:r w:rsidRPr="006156FF">
        <w:rPr>
          <w:rFonts w:asciiTheme="minorHAnsi" w:hAnsiTheme="minorHAnsi"/>
          <w:color w:val="auto"/>
          <w:sz w:val="22"/>
          <w:szCs w:val="22"/>
          <w:lang w:eastAsia="en-AU"/>
        </w:rPr>
        <w:t xml:space="preserve"> with no preconditions</w:t>
      </w:r>
      <w:bookmarkEnd w:id="10"/>
      <w:r w:rsidRPr="006156FF">
        <w:rPr>
          <w:rStyle w:val="EndnoteReference"/>
          <w:rFonts w:asciiTheme="minorHAnsi" w:hAnsiTheme="minorHAnsi"/>
          <w:color w:val="auto"/>
          <w:sz w:val="22"/>
          <w:szCs w:val="22"/>
          <w:lang w:eastAsia="en-AU"/>
        </w:rPr>
        <w:endnoteReference w:id="74"/>
      </w:r>
      <w:r w:rsidRPr="006156FF">
        <w:rPr>
          <w:rFonts w:asciiTheme="minorHAnsi" w:hAnsiTheme="minorHAnsi"/>
          <w:color w:val="auto"/>
          <w:sz w:val="22"/>
          <w:szCs w:val="22"/>
          <w:lang w:eastAsia="en-AU"/>
        </w:rPr>
        <w:t>.</w:t>
      </w:r>
    </w:p>
    <w:p w14:paraId="50DB5D93" w14:textId="080920C8" w:rsidR="00331B24" w:rsidRPr="006156FF" w:rsidRDefault="00331B24" w:rsidP="00B13429">
      <w:pPr>
        <w:pStyle w:val="ListParagraph"/>
        <w:numPr>
          <w:ilvl w:val="0"/>
          <w:numId w:val="46"/>
        </w:numPr>
        <w:suppressAutoHyphens w:val="0"/>
        <w:spacing w:after="120"/>
        <w:ind w:left="357" w:hanging="357"/>
        <w:contextualSpacing w:val="0"/>
        <w:rPr>
          <w:rFonts w:asciiTheme="minorHAnsi" w:hAnsiTheme="minorHAnsi"/>
          <w:color w:val="auto"/>
          <w:sz w:val="22"/>
          <w:szCs w:val="22"/>
          <w:lang w:eastAsia="en-AU"/>
        </w:rPr>
      </w:pPr>
      <w:r w:rsidRPr="006156FF">
        <w:rPr>
          <w:rFonts w:asciiTheme="minorHAnsi" w:hAnsiTheme="minorHAnsi"/>
          <w:color w:val="auto"/>
          <w:sz w:val="22"/>
          <w:szCs w:val="22"/>
          <w:lang w:eastAsia="en-AU"/>
        </w:rPr>
        <w:t xml:space="preserve">The NSW government commissioned AHURI to </w:t>
      </w:r>
      <w:r w:rsidR="00CC0956">
        <w:rPr>
          <w:rFonts w:asciiTheme="minorHAnsi" w:hAnsiTheme="minorHAnsi"/>
          <w:color w:val="auto"/>
          <w:sz w:val="22"/>
          <w:szCs w:val="22"/>
          <w:lang w:eastAsia="en-AU"/>
        </w:rPr>
        <w:t>research considerations for a Housing</w:t>
      </w:r>
      <w:r w:rsidRPr="006156FF">
        <w:rPr>
          <w:rFonts w:asciiTheme="minorHAnsi" w:hAnsiTheme="minorHAnsi"/>
          <w:color w:val="auto"/>
          <w:sz w:val="22"/>
          <w:szCs w:val="22"/>
          <w:lang w:eastAsia="en-AU"/>
        </w:rPr>
        <w:t xml:space="preserve"> First </w:t>
      </w:r>
      <w:r w:rsidR="00CC0956">
        <w:rPr>
          <w:rFonts w:asciiTheme="minorHAnsi" w:hAnsiTheme="minorHAnsi"/>
          <w:color w:val="auto"/>
          <w:sz w:val="22"/>
          <w:szCs w:val="22"/>
          <w:lang w:eastAsia="en-AU"/>
        </w:rPr>
        <w:t>approach in NSW.</w:t>
      </w:r>
      <w:r w:rsidRPr="006156FF">
        <w:rPr>
          <w:rFonts w:asciiTheme="minorHAnsi" w:hAnsiTheme="minorHAnsi"/>
          <w:color w:val="auto"/>
          <w:sz w:val="22"/>
          <w:szCs w:val="22"/>
          <w:lang w:eastAsia="en-AU"/>
        </w:rPr>
        <w:t xml:space="preserve"> It found that:</w:t>
      </w:r>
    </w:p>
    <w:p w14:paraId="0AA19E1B" w14:textId="393DF909" w:rsidR="00331B24" w:rsidRPr="006156FF" w:rsidRDefault="00331B24" w:rsidP="00CC0956">
      <w:pPr>
        <w:pStyle w:val="ListParagraph"/>
        <w:numPr>
          <w:ilvl w:val="1"/>
          <w:numId w:val="46"/>
        </w:numPr>
        <w:suppressAutoHyphens w:val="0"/>
        <w:spacing w:before="120" w:after="120"/>
        <w:ind w:left="1077" w:hanging="357"/>
        <w:contextualSpacing w:val="0"/>
        <w:rPr>
          <w:rFonts w:asciiTheme="minorHAnsi" w:hAnsiTheme="minorHAnsi"/>
          <w:color w:val="auto"/>
          <w:sz w:val="22"/>
          <w:szCs w:val="22"/>
          <w:lang w:eastAsia="en-AU"/>
        </w:rPr>
      </w:pPr>
      <w:r w:rsidRPr="006156FF">
        <w:rPr>
          <w:rFonts w:asciiTheme="minorHAnsi" w:hAnsiTheme="minorHAnsi"/>
          <w:color w:val="auto"/>
          <w:sz w:val="22"/>
          <w:szCs w:val="22"/>
          <w:lang w:eastAsia="en-AU"/>
        </w:rPr>
        <w:t xml:space="preserve">Housing First is highly effective in facilitating housing stability, enabling access to services, improving some non-housing outcomes, and is a </w:t>
      </w:r>
      <w:r w:rsidR="00CC0956" w:rsidRPr="006156FF">
        <w:rPr>
          <w:rFonts w:asciiTheme="minorHAnsi" w:hAnsiTheme="minorHAnsi"/>
          <w:color w:val="auto"/>
          <w:sz w:val="22"/>
          <w:szCs w:val="22"/>
          <w:lang w:eastAsia="en-AU"/>
        </w:rPr>
        <w:t>cost-effective</w:t>
      </w:r>
      <w:r w:rsidRPr="006156FF">
        <w:rPr>
          <w:rFonts w:asciiTheme="minorHAnsi" w:hAnsiTheme="minorHAnsi"/>
          <w:color w:val="auto"/>
          <w:sz w:val="22"/>
          <w:szCs w:val="22"/>
          <w:lang w:eastAsia="en-AU"/>
        </w:rPr>
        <w:t xml:space="preserve"> form of support for people experiencing chronic homelessness with a high complexity of need</w:t>
      </w:r>
      <w:r w:rsidRPr="006156FF">
        <w:rPr>
          <w:rFonts w:asciiTheme="minorHAnsi" w:hAnsiTheme="minorHAnsi"/>
          <w:color w:val="auto"/>
          <w:sz w:val="22"/>
          <w:szCs w:val="22"/>
          <w:vertAlign w:val="superscript"/>
          <w:lang w:eastAsia="en-AU"/>
        </w:rPr>
        <w:endnoteReference w:id="75"/>
      </w:r>
      <w:r w:rsidRPr="006156FF">
        <w:rPr>
          <w:rFonts w:asciiTheme="minorHAnsi" w:hAnsiTheme="minorHAnsi"/>
          <w:color w:val="auto"/>
          <w:sz w:val="22"/>
          <w:szCs w:val="22"/>
          <w:lang w:eastAsia="en-AU"/>
        </w:rPr>
        <w:t>.</w:t>
      </w:r>
    </w:p>
    <w:p w14:paraId="753B3325" w14:textId="77777777" w:rsidR="00331B24" w:rsidRPr="006156FF" w:rsidRDefault="00331B24" w:rsidP="00CC0956">
      <w:pPr>
        <w:pStyle w:val="ListParagraph"/>
        <w:numPr>
          <w:ilvl w:val="1"/>
          <w:numId w:val="46"/>
        </w:numPr>
        <w:suppressAutoHyphens w:val="0"/>
        <w:spacing w:before="120" w:after="120"/>
        <w:ind w:left="1077" w:hanging="357"/>
        <w:contextualSpacing w:val="0"/>
        <w:rPr>
          <w:rFonts w:asciiTheme="minorHAnsi" w:hAnsiTheme="minorHAnsi"/>
          <w:color w:val="auto"/>
          <w:sz w:val="22"/>
          <w:szCs w:val="22"/>
        </w:rPr>
      </w:pPr>
      <w:r w:rsidRPr="006156FF">
        <w:rPr>
          <w:rFonts w:asciiTheme="minorHAnsi" w:hAnsiTheme="minorHAnsi"/>
          <w:color w:val="auto"/>
          <w:sz w:val="22"/>
          <w:szCs w:val="22"/>
        </w:rPr>
        <w:t>Though most evidence is based on programs targeted towards chronic homelessness, emerging programs and evidence show effectiveness for other cohorts</w:t>
      </w:r>
      <w:r w:rsidRPr="006156FF">
        <w:rPr>
          <w:rStyle w:val="EndnoteReference"/>
          <w:rFonts w:asciiTheme="minorHAnsi" w:hAnsiTheme="minorHAnsi"/>
          <w:color w:val="auto"/>
          <w:sz w:val="22"/>
          <w:szCs w:val="22"/>
        </w:rPr>
        <w:endnoteReference w:id="76"/>
      </w:r>
      <w:r w:rsidRPr="006156FF">
        <w:rPr>
          <w:rFonts w:asciiTheme="minorHAnsi" w:hAnsiTheme="minorHAnsi"/>
          <w:color w:val="auto"/>
          <w:sz w:val="22"/>
          <w:szCs w:val="22"/>
        </w:rPr>
        <w:t xml:space="preserve">. </w:t>
      </w:r>
    </w:p>
    <w:p w14:paraId="7B25FB43" w14:textId="77777777" w:rsidR="00331B24" w:rsidRPr="006156FF" w:rsidRDefault="00331B24" w:rsidP="00CC0956">
      <w:pPr>
        <w:pStyle w:val="ListParagraph"/>
        <w:numPr>
          <w:ilvl w:val="1"/>
          <w:numId w:val="46"/>
        </w:numPr>
        <w:suppressAutoHyphens w:val="0"/>
        <w:spacing w:before="120" w:after="120"/>
        <w:ind w:left="1077" w:hanging="357"/>
        <w:contextualSpacing w:val="0"/>
        <w:rPr>
          <w:rFonts w:asciiTheme="minorHAnsi" w:hAnsiTheme="minorHAnsi"/>
          <w:color w:val="auto"/>
          <w:sz w:val="22"/>
          <w:szCs w:val="22"/>
        </w:rPr>
      </w:pPr>
      <w:r w:rsidRPr="006156FF">
        <w:rPr>
          <w:rFonts w:asciiTheme="minorHAnsi" w:hAnsiTheme="minorHAnsi"/>
          <w:color w:val="auto"/>
          <w:sz w:val="22"/>
          <w:szCs w:val="22"/>
        </w:rPr>
        <w:t>The effectiveness of Housing First programs is attributed to the provision of housing, length of support and intensity of support which provides stability for those experiencing homelessness to address other support needs.</w:t>
      </w:r>
    </w:p>
    <w:p w14:paraId="7B253E09" w14:textId="77777777" w:rsidR="00331B24" w:rsidRPr="006156FF" w:rsidRDefault="00331B24" w:rsidP="00CC0956">
      <w:pPr>
        <w:pStyle w:val="ListParagraph"/>
        <w:numPr>
          <w:ilvl w:val="1"/>
          <w:numId w:val="46"/>
        </w:numPr>
        <w:suppressAutoHyphens w:val="0"/>
        <w:spacing w:before="120" w:after="120"/>
        <w:ind w:left="1077" w:hanging="357"/>
        <w:contextualSpacing w:val="0"/>
        <w:rPr>
          <w:rFonts w:asciiTheme="minorHAnsi" w:hAnsiTheme="minorHAnsi"/>
          <w:color w:val="auto"/>
          <w:sz w:val="22"/>
          <w:szCs w:val="22"/>
          <w:lang w:eastAsia="en-AU"/>
        </w:rPr>
      </w:pPr>
      <w:r w:rsidRPr="006156FF">
        <w:rPr>
          <w:rFonts w:asciiTheme="minorHAnsi" w:hAnsiTheme="minorHAnsi"/>
          <w:color w:val="auto"/>
          <w:sz w:val="22"/>
          <w:szCs w:val="22"/>
        </w:rPr>
        <w:t>Though Housing First programs can be effective in a range of different system contexts, time-limited Housing First programs leave clients vulnerable to repeat homelessness by requiring them to navigate and re-enter the broader housing and homelessness systems</w:t>
      </w:r>
      <w:r w:rsidRPr="006156FF">
        <w:rPr>
          <w:rStyle w:val="EndnoteReference"/>
          <w:rFonts w:asciiTheme="minorHAnsi" w:hAnsiTheme="minorHAnsi"/>
          <w:color w:val="auto"/>
          <w:sz w:val="22"/>
          <w:szCs w:val="22"/>
        </w:rPr>
        <w:endnoteReference w:id="77"/>
      </w:r>
      <w:r w:rsidRPr="006156FF">
        <w:rPr>
          <w:rFonts w:asciiTheme="minorHAnsi" w:hAnsiTheme="minorHAnsi"/>
          <w:color w:val="auto"/>
          <w:sz w:val="22"/>
          <w:szCs w:val="22"/>
        </w:rPr>
        <w:t>.</w:t>
      </w:r>
    </w:p>
    <w:p w14:paraId="5EC9D37B" w14:textId="51166831" w:rsidR="00331B24" w:rsidRPr="006156FF" w:rsidRDefault="00331B24" w:rsidP="00B13429">
      <w:pPr>
        <w:pStyle w:val="BodyText"/>
        <w:numPr>
          <w:ilvl w:val="0"/>
          <w:numId w:val="41"/>
        </w:numPr>
        <w:ind w:left="357" w:hanging="357"/>
        <w:rPr>
          <w:color w:val="auto"/>
          <w:lang w:val="en-GB"/>
        </w:rPr>
      </w:pPr>
      <w:r w:rsidRPr="006156FF">
        <w:rPr>
          <w:lang w:val="en-GB"/>
        </w:rPr>
        <w:t>Flatau et al</w:t>
      </w:r>
      <w:r w:rsidR="00CC0956">
        <w:rPr>
          <w:lang w:val="en-GB"/>
        </w:rPr>
        <w:t xml:space="preserve"> (2021)</w:t>
      </w:r>
      <w:r w:rsidRPr="006156FF">
        <w:rPr>
          <w:lang w:val="en-GB"/>
        </w:rPr>
        <w:t xml:space="preserve"> identif</w:t>
      </w:r>
      <w:r w:rsidR="00CC0956">
        <w:rPr>
          <w:lang w:val="en-GB"/>
        </w:rPr>
        <w:t>ied</w:t>
      </w:r>
      <w:r w:rsidRPr="006156FF">
        <w:rPr>
          <w:lang w:val="en-GB"/>
        </w:rPr>
        <w:t xml:space="preserve"> five key actions to end homelessness in Australia, including </w:t>
      </w:r>
      <w:r w:rsidR="00CC0956">
        <w:rPr>
          <w:lang w:val="en-GB"/>
        </w:rPr>
        <w:t>‘c</w:t>
      </w:r>
      <w:r w:rsidRPr="006156FF">
        <w:rPr>
          <w:lang w:val="en-GB"/>
        </w:rPr>
        <w:t xml:space="preserve">omprehensive application of Housing First programs linked to supportive housing for those entering permanent housing </w:t>
      </w:r>
      <w:r w:rsidRPr="006156FF">
        <w:rPr>
          <w:color w:val="auto"/>
          <w:lang w:val="en-GB"/>
        </w:rPr>
        <w:t>with histories of homelessness and high health and other service needs</w:t>
      </w:r>
      <w:r w:rsidR="00CC0956">
        <w:rPr>
          <w:color w:val="auto"/>
          <w:lang w:val="en-GB"/>
        </w:rPr>
        <w:t>’</w:t>
      </w:r>
      <w:r w:rsidRPr="006156FF">
        <w:rPr>
          <w:rStyle w:val="EndnoteReference"/>
          <w:color w:val="auto"/>
          <w:lang w:val="en-GB"/>
        </w:rPr>
        <w:endnoteReference w:id="78"/>
      </w:r>
      <w:r w:rsidRPr="006156FF">
        <w:rPr>
          <w:color w:val="auto"/>
          <w:lang w:val="en-GB"/>
        </w:rPr>
        <w:t>.</w:t>
      </w:r>
    </w:p>
    <w:p w14:paraId="7FC30B64" w14:textId="2D92B71F" w:rsidR="00331B24" w:rsidRPr="006156FF" w:rsidRDefault="00331B24" w:rsidP="00B13429">
      <w:pPr>
        <w:pStyle w:val="ListParagraph"/>
        <w:numPr>
          <w:ilvl w:val="0"/>
          <w:numId w:val="41"/>
        </w:numPr>
        <w:suppressAutoHyphens w:val="0"/>
        <w:spacing w:after="120" w:line="239" w:lineRule="auto"/>
        <w:ind w:left="357" w:hanging="357"/>
        <w:contextualSpacing w:val="0"/>
        <w:rPr>
          <w:rFonts w:asciiTheme="minorHAnsi" w:hAnsiTheme="minorHAnsi"/>
          <w:color w:val="auto"/>
          <w:sz w:val="22"/>
          <w:szCs w:val="22"/>
          <w:lang w:eastAsia="en-AU"/>
        </w:rPr>
      </w:pPr>
      <w:r w:rsidRPr="006156FF">
        <w:rPr>
          <w:rFonts w:asciiTheme="minorHAnsi" w:hAnsiTheme="minorHAnsi"/>
          <w:color w:val="auto"/>
          <w:sz w:val="22"/>
          <w:szCs w:val="22"/>
          <w:lang w:eastAsia="en-AU"/>
        </w:rPr>
        <w:t>Duff et al</w:t>
      </w:r>
      <w:r w:rsidR="00CC0956">
        <w:rPr>
          <w:rFonts w:asciiTheme="minorHAnsi" w:hAnsiTheme="minorHAnsi"/>
          <w:color w:val="auto"/>
          <w:sz w:val="22"/>
          <w:szCs w:val="22"/>
          <w:lang w:eastAsia="en-AU"/>
        </w:rPr>
        <w:t xml:space="preserve"> (2022)</w:t>
      </w:r>
      <w:r w:rsidRPr="006156FF">
        <w:rPr>
          <w:rFonts w:asciiTheme="minorHAnsi" w:hAnsiTheme="minorHAnsi"/>
          <w:color w:val="auto"/>
          <w:sz w:val="22"/>
          <w:szCs w:val="22"/>
          <w:lang w:eastAsia="en-AU"/>
        </w:rPr>
        <w:t xml:space="preserve"> found strong evidence to support use of the housing first philosophy to guide the coordinated delivery of housing, health and social care supports for people exiting </w:t>
      </w:r>
      <w:r w:rsidRPr="006156FF">
        <w:rPr>
          <w:rFonts w:asciiTheme="minorHAnsi" w:hAnsiTheme="minorHAnsi"/>
          <w:color w:val="auto"/>
          <w:sz w:val="22"/>
          <w:szCs w:val="22"/>
          <w:lang w:eastAsia="en-AU"/>
        </w:rPr>
        <w:lastRenderedPageBreak/>
        <w:t>residential treatment settings for mental health and substance use issues</w:t>
      </w:r>
      <w:r w:rsidRPr="006156FF">
        <w:rPr>
          <w:rStyle w:val="EndnoteReference"/>
          <w:rFonts w:asciiTheme="minorHAnsi" w:hAnsiTheme="minorHAnsi"/>
          <w:color w:val="auto"/>
          <w:sz w:val="22"/>
          <w:szCs w:val="22"/>
          <w:lang w:eastAsia="en-AU"/>
        </w:rPr>
        <w:endnoteReference w:id="79"/>
      </w:r>
      <w:r w:rsidRPr="006156FF">
        <w:rPr>
          <w:rFonts w:asciiTheme="minorHAnsi" w:hAnsiTheme="minorHAnsi"/>
          <w:color w:val="auto"/>
          <w:sz w:val="22"/>
          <w:szCs w:val="22"/>
          <w:lang w:eastAsia="en-AU"/>
        </w:rPr>
        <w:t>.</w:t>
      </w:r>
      <w:r w:rsidRPr="006156FF">
        <w:rPr>
          <w:rStyle w:val="EndnoteReference"/>
          <w:rFonts w:asciiTheme="minorHAnsi" w:hAnsiTheme="minorHAnsi"/>
          <w:color w:val="auto"/>
          <w:sz w:val="22"/>
          <w:szCs w:val="22"/>
          <w:lang w:eastAsia="en-AU"/>
        </w:rPr>
        <w:t xml:space="preserve"> </w:t>
      </w:r>
      <w:r w:rsidRPr="006156FF">
        <w:rPr>
          <w:rFonts w:asciiTheme="minorHAnsi" w:hAnsiTheme="minorHAnsi"/>
          <w:color w:val="auto"/>
          <w:sz w:val="22"/>
          <w:szCs w:val="22"/>
          <w:lang w:eastAsia="en-AU"/>
        </w:rPr>
        <w:t xml:space="preserve">The </w:t>
      </w:r>
      <w:r w:rsidR="00CC0956">
        <w:rPr>
          <w:rFonts w:asciiTheme="minorHAnsi" w:hAnsiTheme="minorHAnsi"/>
          <w:color w:val="auto"/>
          <w:sz w:val="22"/>
          <w:szCs w:val="22"/>
          <w:lang w:eastAsia="en-AU"/>
        </w:rPr>
        <w:t>H</w:t>
      </w:r>
      <w:r w:rsidRPr="006156FF">
        <w:rPr>
          <w:rFonts w:asciiTheme="minorHAnsi" w:hAnsiTheme="minorHAnsi"/>
          <w:color w:val="auto"/>
          <w:sz w:val="22"/>
          <w:szCs w:val="22"/>
          <w:lang w:eastAsia="en-AU"/>
        </w:rPr>
        <w:t xml:space="preserve">ousing </w:t>
      </w:r>
      <w:r w:rsidR="00CC0956">
        <w:rPr>
          <w:rFonts w:asciiTheme="minorHAnsi" w:hAnsiTheme="minorHAnsi"/>
          <w:color w:val="auto"/>
          <w:sz w:val="22"/>
          <w:szCs w:val="22"/>
          <w:lang w:eastAsia="en-AU"/>
        </w:rPr>
        <w:t>F</w:t>
      </w:r>
      <w:r w:rsidRPr="006156FF">
        <w:rPr>
          <w:rFonts w:asciiTheme="minorHAnsi" w:hAnsiTheme="minorHAnsi"/>
          <w:color w:val="auto"/>
          <w:sz w:val="22"/>
          <w:szCs w:val="22"/>
          <w:lang w:eastAsia="en-AU"/>
        </w:rPr>
        <w:t xml:space="preserve">irst model maintains that </w:t>
      </w:r>
      <w:r w:rsidR="00CC0956">
        <w:rPr>
          <w:rFonts w:asciiTheme="minorHAnsi" w:hAnsiTheme="minorHAnsi"/>
          <w:color w:val="auto"/>
          <w:sz w:val="22"/>
          <w:szCs w:val="22"/>
          <w:lang w:eastAsia="en-AU"/>
        </w:rPr>
        <w:t>‘</w:t>
      </w:r>
      <w:r w:rsidRPr="006156FF">
        <w:rPr>
          <w:rFonts w:asciiTheme="minorHAnsi" w:hAnsiTheme="minorHAnsi"/>
          <w:color w:val="auto"/>
          <w:sz w:val="22"/>
          <w:szCs w:val="22"/>
          <w:lang w:eastAsia="en-AU"/>
        </w:rPr>
        <w:t>secure housing must be provided for all individuals living with complex and persistent mental health and/or substance use problems, regardless of their apparent housing readiness</w:t>
      </w:r>
      <w:r w:rsidR="00CC0956">
        <w:rPr>
          <w:rFonts w:asciiTheme="minorHAnsi" w:hAnsiTheme="minorHAnsi"/>
          <w:color w:val="auto"/>
          <w:sz w:val="22"/>
          <w:szCs w:val="22"/>
          <w:lang w:eastAsia="en-AU"/>
        </w:rPr>
        <w:t>’</w:t>
      </w:r>
      <w:r w:rsidRPr="006156FF">
        <w:rPr>
          <w:rStyle w:val="EndnoteReference"/>
          <w:rFonts w:asciiTheme="minorHAnsi" w:hAnsiTheme="minorHAnsi"/>
          <w:color w:val="auto"/>
          <w:sz w:val="22"/>
          <w:szCs w:val="22"/>
          <w:lang w:eastAsia="en-AU"/>
        </w:rPr>
        <w:t xml:space="preserve"> </w:t>
      </w:r>
      <w:r w:rsidRPr="006156FF">
        <w:rPr>
          <w:rStyle w:val="EndnoteReference"/>
          <w:rFonts w:asciiTheme="minorHAnsi" w:hAnsiTheme="minorHAnsi"/>
          <w:color w:val="auto"/>
          <w:sz w:val="22"/>
          <w:szCs w:val="22"/>
          <w:lang w:eastAsia="en-AU"/>
        </w:rPr>
        <w:endnoteReference w:id="80"/>
      </w:r>
      <w:r w:rsidRPr="006156FF">
        <w:rPr>
          <w:rFonts w:asciiTheme="minorHAnsi" w:hAnsiTheme="minorHAnsi"/>
          <w:color w:val="auto"/>
          <w:sz w:val="22"/>
          <w:szCs w:val="22"/>
          <w:lang w:eastAsia="en-AU"/>
        </w:rPr>
        <w:t>.</w:t>
      </w:r>
      <w:r w:rsidRPr="006156FF">
        <w:rPr>
          <w:rStyle w:val="EndnoteReference"/>
          <w:rFonts w:asciiTheme="minorHAnsi" w:hAnsiTheme="minorHAnsi"/>
          <w:color w:val="auto"/>
          <w:sz w:val="22"/>
          <w:szCs w:val="22"/>
          <w:lang w:eastAsia="en-AU"/>
        </w:rPr>
        <w:t xml:space="preserve"> </w:t>
      </w:r>
    </w:p>
    <w:p w14:paraId="7899093D" w14:textId="436FAA26" w:rsidR="00331B24" w:rsidRPr="006156FF" w:rsidRDefault="00331B24" w:rsidP="00B13429">
      <w:pPr>
        <w:pStyle w:val="ListParagraph"/>
        <w:numPr>
          <w:ilvl w:val="0"/>
          <w:numId w:val="41"/>
        </w:numPr>
        <w:suppressAutoHyphens w:val="0"/>
        <w:spacing w:after="120" w:line="239" w:lineRule="auto"/>
        <w:ind w:left="357" w:hanging="357"/>
        <w:contextualSpacing w:val="0"/>
        <w:rPr>
          <w:rFonts w:asciiTheme="minorHAnsi" w:hAnsiTheme="minorHAnsi"/>
          <w:color w:val="auto"/>
          <w:sz w:val="22"/>
          <w:szCs w:val="22"/>
        </w:rPr>
      </w:pPr>
      <w:r w:rsidRPr="006156FF">
        <w:rPr>
          <w:rFonts w:asciiTheme="minorHAnsi" w:hAnsiTheme="minorHAnsi"/>
          <w:color w:val="auto"/>
          <w:sz w:val="22"/>
          <w:szCs w:val="22"/>
          <w:lang w:eastAsia="en-AU"/>
        </w:rPr>
        <w:t xml:space="preserve">The </w:t>
      </w:r>
      <w:r w:rsidRPr="006156FF">
        <w:rPr>
          <w:rFonts w:asciiTheme="minorHAnsi" w:hAnsiTheme="minorHAnsi"/>
          <w:color w:val="auto"/>
          <w:sz w:val="22"/>
          <w:szCs w:val="22"/>
        </w:rPr>
        <w:t xml:space="preserve">NSW Legislative Council Standing Committee on Social Issues inquiry into homelessness amongst older people aged over 55 in New South Wales </w:t>
      </w:r>
      <w:r w:rsidRPr="006156FF">
        <w:rPr>
          <w:rFonts w:asciiTheme="minorHAnsi" w:hAnsiTheme="minorHAnsi"/>
          <w:color w:val="auto"/>
          <w:sz w:val="22"/>
          <w:szCs w:val="22"/>
          <w:lang w:eastAsia="en-AU"/>
        </w:rPr>
        <w:t>recommend</w:t>
      </w:r>
      <w:r w:rsidR="00CC0956">
        <w:rPr>
          <w:rFonts w:asciiTheme="minorHAnsi" w:hAnsiTheme="minorHAnsi"/>
          <w:color w:val="auto"/>
          <w:sz w:val="22"/>
          <w:szCs w:val="22"/>
          <w:lang w:eastAsia="en-AU"/>
        </w:rPr>
        <w:t>ed</w:t>
      </w:r>
      <w:r w:rsidRPr="006156FF">
        <w:rPr>
          <w:rFonts w:asciiTheme="minorHAnsi" w:hAnsiTheme="minorHAnsi"/>
          <w:color w:val="auto"/>
          <w:sz w:val="22"/>
          <w:szCs w:val="22"/>
          <w:lang w:eastAsia="en-AU"/>
        </w:rPr>
        <w:t xml:space="preserve"> the NSW Government incorporate Housing First principles into its approach to addressing homelessness in the state and urge the Australian Government to do the same</w:t>
      </w:r>
      <w:r w:rsidRPr="006156FF">
        <w:rPr>
          <w:rStyle w:val="EndnoteReference"/>
          <w:rFonts w:asciiTheme="minorHAnsi" w:hAnsiTheme="minorHAnsi"/>
          <w:color w:val="auto"/>
          <w:sz w:val="22"/>
          <w:szCs w:val="22"/>
        </w:rPr>
        <w:endnoteReference w:id="81"/>
      </w:r>
      <w:r w:rsidRPr="006156FF">
        <w:rPr>
          <w:rFonts w:asciiTheme="minorHAnsi" w:hAnsiTheme="minorHAnsi"/>
          <w:color w:val="auto"/>
          <w:sz w:val="22"/>
          <w:szCs w:val="22"/>
          <w:lang w:eastAsia="en-AU"/>
        </w:rPr>
        <w:t>.</w:t>
      </w:r>
      <w:r w:rsidRPr="006156FF">
        <w:rPr>
          <w:rStyle w:val="EndnoteReference"/>
          <w:rFonts w:asciiTheme="minorHAnsi" w:hAnsiTheme="minorHAnsi"/>
          <w:color w:val="auto"/>
          <w:sz w:val="22"/>
          <w:szCs w:val="22"/>
        </w:rPr>
        <w:t xml:space="preserve"> </w:t>
      </w:r>
      <w:r w:rsidRPr="006156FF">
        <w:rPr>
          <w:rFonts w:asciiTheme="minorHAnsi" w:eastAsia="Times New Roman" w:hAnsiTheme="minorHAnsi" w:cstheme="minorHAnsi"/>
          <w:color w:val="auto"/>
          <w:sz w:val="22"/>
          <w:szCs w:val="22"/>
          <w:lang w:eastAsia="en-AU"/>
        </w:rPr>
        <w:t xml:space="preserve">It also recommended consideration be given to </w:t>
      </w:r>
      <w:r w:rsidRPr="006156FF">
        <w:rPr>
          <w:rFonts w:asciiTheme="minorHAnsi" w:hAnsiTheme="minorHAnsi"/>
          <w:color w:val="auto"/>
          <w:sz w:val="22"/>
          <w:szCs w:val="22"/>
        </w:rPr>
        <w:t>expanding the scope of Together Home to capture a wider range of older people, as well as the feasibility of ongoing funding</w:t>
      </w:r>
      <w:r w:rsidRPr="006156FF">
        <w:rPr>
          <w:rStyle w:val="EndnoteReference"/>
          <w:rFonts w:asciiTheme="minorHAnsi" w:hAnsiTheme="minorHAnsi"/>
          <w:color w:val="auto"/>
          <w:sz w:val="22"/>
          <w:szCs w:val="22"/>
        </w:rPr>
        <w:endnoteReference w:id="82"/>
      </w:r>
      <w:r w:rsidRPr="006156FF">
        <w:rPr>
          <w:rFonts w:asciiTheme="minorHAnsi" w:hAnsiTheme="minorHAnsi"/>
          <w:color w:val="auto"/>
          <w:sz w:val="22"/>
          <w:szCs w:val="22"/>
        </w:rPr>
        <w:t>.</w:t>
      </w:r>
      <w:r w:rsidRPr="006156FF">
        <w:rPr>
          <w:rStyle w:val="EndnoteReference"/>
          <w:rFonts w:asciiTheme="minorHAnsi" w:hAnsiTheme="minorHAnsi"/>
          <w:color w:val="auto"/>
          <w:sz w:val="22"/>
          <w:szCs w:val="22"/>
        </w:rPr>
        <w:t xml:space="preserve"> </w:t>
      </w:r>
    </w:p>
    <w:p w14:paraId="22046A90" w14:textId="67ABD1FC" w:rsidR="00331B24" w:rsidRPr="006156FF" w:rsidRDefault="00CC0956" w:rsidP="00B13429">
      <w:pPr>
        <w:pStyle w:val="BodyText"/>
        <w:numPr>
          <w:ilvl w:val="0"/>
          <w:numId w:val="41"/>
        </w:numPr>
        <w:ind w:left="357" w:hanging="357"/>
        <w:rPr>
          <w:lang w:val="en-GB"/>
        </w:rPr>
      </w:pPr>
      <w:r>
        <w:rPr>
          <w:color w:val="auto"/>
          <w:lang w:val="en-GB"/>
        </w:rPr>
        <w:t>The</w:t>
      </w:r>
      <w:r w:rsidR="004255B6">
        <w:rPr>
          <w:color w:val="auto"/>
          <w:lang w:val="en-GB"/>
        </w:rPr>
        <w:t xml:space="preserve"> Productivity</w:t>
      </w:r>
      <w:r w:rsidR="00331B24" w:rsidRPr="006156FF">
        <w:rPr>
          <w:color w:val="auto"/>
          <w:lang w:val="en-GB"/>
        </w:rPr>
        <w:t xml:space="preserve"> Commission’s review of the National Housing and Homelessness Agreement recommended that</w:t>
      </w:r>
      <w:r w:rsidR="00331B24" w:rsidRPr="006156FF">
        <w:rPr>
          <w:color w:val="auto"/>
        </w:rPr>
        <w:t xml:space="preserve"> Housing First should be a key reform area and that the Australian, State and Territory Governments</w:t>
      </w:r>
      <w:r w:rsidR="00331B24" w:rsidRPr="006156FF">
        <w:rPr>
          <w:color w:val="auto"/>
          <w:lang w:val="en-GB"/>
        </w:rPr>
        <w:t xml:space="preserve"> </w:t>
      </w:r>
      <w:r w:rsidR="00331B24" w:rsidRPr="006156FF">
        <w:rPr>
          <w:lang w:val="en-GB"/>
        </w:rPr>
        <w:t xml:space="preserve">commit </w:t>
      </w:r>
      <w:r w:rsidR="00331B24" w:rsidRPr="006156FF">
        <w:rPr>
          <w:color w:val="auto"/>
        </w:rPr>
        <w:t>to expanding Housing First programs to improve housing outcomes for people experiencing homelessness</w:t>
      </w:r>
      <w:r w:rsidR="00BF7968" w:rsidRPr="006156FF">
        <w:rPr>
          <w:vertAlign w:val="superscript"/>
          <w:lang w:val="en-GB"/>
        </w:rPr>
        <w:endnoteReference w:id="83"/>
      </w:r>
      <w:r w:rsidR="00331B24" w:rsidRPr="006156FF">
        <w:rPr>
          <w:color w:val="auto"/>
        </w:rPr>
        <w:t>.</w:t>
      </w:r>
      <w:r w:rsidR="00331B24" w:rsidRPr="006156FF">
        <w:rPr>
          <w:vertAlign w:val="superscript"/>
          <w:lang w:val="en-GB"/>
        </w:rPr>
        <w:t xml:space="preserve"> </w:t>
      </w:r>
    </w:p>
    <w:p w14:paraId="1E78E477" w14:textId="77777777" w:rsidR="00331B24" w:rsidRPr="006156FF" w:rsidRDefault="00331B24" w:rsidP="00B13429">
      <w:pPr>
        <w:pStyle w:val="BodyText"/>
        <w:numPr>
          <w:ilvl w:val="0"/>
          <w:numId w:val="41"/>
        </w:numPr>
        <w:ind w:left="357" w:hanging="357"/>
      </w:pPr>
      <w:r w:rsidRPr="006156FF">
        <w:rPr>
          <w:color w:val="auto"/>
        </w:rPr>
        <w:t>The House of Representatives Standing Committee on Social Policy and Legal Affairs inquiry into homelessness in Australia recommends that Housing First principles should be incorporated into any national funding agreements with state and territories</w:t>
      </w:r>
      <w:r w:rsidRPr="006156FF">
        <w:rPr>
          <w:rStyle w:val="EndnoteReference"/>
          <w:color w:val="auto"/>
        </w:rPr>
        <w:endnoteReference w:id="84"/>
      </w:r>
      <w:r w:rsidRPr="006156FF">
        <w:rPr>
          <w:color w:val="auto"/>
        </w:rPr>
        <w:t xml:space="preserve">. </w:t>
      </w:r>
    </w:p>
    <w:p w14:paraId="355200BF" w14:textId="34D02632" w:rsidR="00C84F9D" w:rsidRPr="006156FF" w:rsidRDefault="00C84F9D" w:rsidP="00C84F9D">
      <w:pPr>
        <w:pStyle w:val="Heading2"/>
      </w:pPr>
      <w:r w:rsidRPr="006156FF">
        <w:t>Person-centred</w:t>
      </w:r>
      <w:r w:rsidR="00160B3E">
        <w:t xml:space="preserve"> principles are embedded in policy</w:t>
      </w:r>
      <w:r w:rsidR="004C105E" w:rsidRPr="006156FF">
        <w:t xml:space="preserve"> and practice </w:t>
      </w:r>
    </w:p>
    <w:p w14:paraId="62224442" w14:textId="77777777" w:rsidR="008C7387" w:rsidRPr="006156FF" w:rsidRDefault="008C7387" w:rsidP="008C7387">
      <w:pPr>
        <w:numPr>
          <w:ilvl w:val="0"/>
          <w:numId w:val="32"/>
        </w:numPr>
        <w:tabs>
          <w:tab w:val="left" w:pos="357"/>
          <w:tab w:val="left" w:pos="714"/>
          <w:tab w:val="left" w:pos="2552"/>
        </w:tabs>
        <w:spacing w:before="120" w:after="120"/>
        <w:rPr>
          <w:rFonts w:asciiTheme="minorHAnsi" w:eastAsia="Times New Roman" w:hAnsiTheme="minorHAnsi" w:cs="Arial"/>
          <w:color w:val="auto"/>
          <w:sz w:val="22"/>
          <w:szCs w:val="22"/>
          <w:lang w:val="en-GB"/>
        </w:rPr>
      </w:pPr>
      <w:r w:rsidRPr="006156FF">
        <w:rPr>
          <w:rFonts w:asciiTheme="minorHAnsi" w:eastAsia="Times New Roman" w:hAnsiTheme="minorHAnsi" w:cs="Arial"/>
          <w:color w:val="auto"/>
          <w:sz w:val="22"/>
          <w:szCs w:val="22"/>
          <w:lang w:val="en-GB"/>
        </w:rPr>
        <w:t xml:space="preserve">A person-centred approach is based on human rights.  and ensures that </w:t>
      </w:r>
      <w:r>
        <w:rPr>
          <w:rFonts w:asciiTheme="minorHAnsi" w:eastAsia="Times New Roman" w:hAnsiTheme="minorHAnsi" w:cs="Arial"/>
          <w:color w:val="auto"/>
          <w:sz w:val="22"/>
          <w:szCs w:val="22"/>
          <w:lang w:val="en-GB"/>
        </w:rPr>
        <w:t>‘</w:t>
      </w:r>
      <w:r w:rsidRPr="006156FF">
        <w:rPr>
          <w:rFonts w:asciiTheme="minorHAnsi" w:eastAsia="Times New Roman" w:hAnsiTheme="minorHAnsi" w:cs="Arial"/>
          <w:color w:val="auto"/>
          <w:sz w:val="22"/>
          <w:szCs w:val="22"/>
          <w:lang w:val="en-GB"/>
        </w:rPr>
        <w:t>a person’s safety is prioritised, that their right to make choices is recognised and that their inherent dignity is central to the design and delivery of services</w:t>
      </w:r>
      <w:r>
        <w:rPr>
          <w:rFonts w:asciiTheme="minorHAnsi" w:eastAsia="Times New Roman" w:hAnsiTheme="minorHAnsi" w:cs="Arial"/>
          <w:color w:val="auto"/>
          <w:sz w:val="22"/>
          <w:szCs w:val="22"/>
          <w:lang w:val="en-GB"/>
        </w:rPr>
        <w:t>’</w:t>
      </w:r>
      <w:r w:rsidRPr="006156FF">
        <w:rPr>
          <w:rStyle w:val="EndnoteReference"/>
          <w:rFonts w:asciiTheme="minorHAnsi" w:eastAsia="Times New Roman" w:hAnsiTheme="minorHAnsi" w:cs="Arial"/>
          <w:color w:val="auto"/>
          <w:sz w:val="22"/>
          <w:szCs w:val="22"/>
          <w:lang w:val="en-GB"/>
        </w:rPr>
        <w:endnoteReference w:id="85"/>
      </w:r>
      <w:r w:rsidRPr="006156FF">
        <w:rPr>
          <w:rFonts w:asciiTheme="minorHAnsi" w:eastAsia="Times New Roman" w:hAnsiTheme="minorHAnsi" w:cs="Arial"/>
          <w:color w:val="auto"/>
          <w:sz w:val="22"/>
          <w:szCs w:val="22"/>
          <w:lang w:val="en-GB"/>
        </w:rPr>
        <w:t>.</w:t>
      </w:r>
    </w:p>
    <w:p w14:paraId="08C91D05" w14:textId="77777777" w:rsidR="008C7387" w:rsidRPr="006156FF" w:rsidRDefault="008C7387" w:rsidP="008C7387">
      <w:pPr>
        <w:numPr>
          <w:ilvl w:val="0"/>
          <w:numId w:val="32"/>
        </w:numPr>
        <w:tabs>
          <w:tab w:val="left" w:pos="357"/>
          <w:tab w:val="left" w:pos="714"/>
          <w:tab w:val="left" w:pos="2552"/>
        </w:tabs>
        <w:spacing w:before="120" w:after="120"/>
        <w:rPr>
          <w:rFonts w:asciiTheme="minorHAnsi" w:eastAsia="Times New Roman" w:hAnsiTheme="minorHAnsi" w:cs="Arial"/>
          <w:color w:val="auto"/>
          <w:sz w:val="22"/>
          <w:szCs w:val="22"/>
          <w:lang w:val="en-GB"/>
        </w:rPr>
      </w:pPr>
      <w:r w:rsidRPr="006156FF">
        <w:rPr>
          <w:rFonts w:asciiTheme="minorHAnsi" w:eastAsia="Times New Roman" w:hAnsiTheme="minorHAnsi" w:cs="Arial"/>
          <w:color w:val="auto"/>
          <w:sz w:val="22"/>
          <w:szCs w:val="22"/>
          <w:lang w:val="en-GB"/>
        </w:rPr>
        <w:t>A person-centred approach is driven by what the person needs, rather than what a program provides or whether the person fits the eligibility criteria.  The traditional system-centred approach requires a person to fit the program or the system before they are supported, which creates barriers to support.</w:t>
      </w:r>
    </w:p>
    <w:p w14:paraId="1E7CEA89" w14:textId="77777777" w:rsidR="008C7387" w:rsidRPr="006156FF" w:rsidRDefault="008C7387" w:rsidP="008C7387">
      <w:pPr>
        <w:pStyle w:val="ListParagraph"/>
        <w:numPr>
          <w:ilvl w:val="0"/>
          <w:numId w:val="32"/>
        </w:numPr>
        <w:suppressAutoHyphens w:val="0"/>
        <w:spacing w:after="80" w:line="259" w:lineRule="auto"/>
        <w:rPr>
          <w:rFonts w:asciiTheme="minorHAnsi" w:eastAsia="Times New Roman" w:hAnsiTheme="minorHAnsi" w:cs="Times New Roman"/>
          <w:color w:val="auto"/>
          <w:sz w:val="22"/>
          <w:szCs w:val="22"/>
          <w:lang w:val="en-GB" w:eastAsia="en-US"/>
        </w:rPr>
      </w:pPr>
      <w:r>
        <w:rPr>
          <w:rFonts w:asciiTheme="minorHAnsi" w:eastAsia="Times New Roman" w:hAnsiTheme="minorHAnsi" w:cs="Arial"/>
          <w:color w:val="auto"/>
          <w:sz w:val="22"/>
          <w:szCs w:val="22"/>
          <w:lang w:val="en-GB"/>
        </w:rPr>
        <w:t>P</w:t>
      </w:r>
      <w:r w:rsidR="00C84F9D" w:rsidRPr="006156FF">
        <w:rPr>
          <w:rFonts w:asciiTheme="minorHAnsi" w:eastAsia="Times New Roman" w:hAnsiTheme="minorHAnsi" w:cs="Arial"/>
          <w:color w:val="auto"/>
          <w:sz w:val="22"/>
          <w:szCs w:val="22"/>
          <w:lang w:val="en-GB"/>
        </w:rPr>
        <w:t xml:space="preserve">erson-centred </w:t>
      </w:r>
      <w:r>
        <w:rPr>
          <w:rFonts w:asciiTheme="minorHAnsi" w:eastAsia="Times New Roman" w:hAnsiTheme="minorHAnsi" w:cs="Arial"/>
          <w:color w:val="auto"/>
          <w:sz w:val="22"/>
          <w:szCs w:val="22"/>
          <w:lang w:val="en-GB"/>
        </w:rPr>
        <w:t>service delivery involves</w:t>
      </w:r>
      <w:r w:rsidR="00C84F9D" w:rsidRPr="006156FF">
        <w:rPr>
          <w:rFonts w:asciiTheme="minorHAnsi" w:eastAsia="Times New Roman" w:hAnsiTheme="minorHAnsi" w:cs="Arial"/>
          <w:color w:val="auto"/>
          <w:sz w:val="22"/>
          <w:szCs w:val="22"/>
          <w:lang w:val="en-GB"/>
        </w:rPr>
        <w:t xml:space="preserve"> seeing the person and their strengths, rather than the label or a category, and providing them with a service that is tailored to their specific needs and wishes</w:t>
      </w:r>
      <w:r w:rsidR="00B827BA" w:rsidRPr="006156FF">
        <w:rPr>
          <w:rStyle w:val="EndnoteReference"/>
          <w:rFonts w:asciiTheme="minorHAnsi" w:eastAsia="Times New Roman" w:hAnsiTheme="minorHAnsi" w:cs="Arial"/>
          <w:color w:val="auto"/>
          <w:sz w:val="22"/>
          <w:szCs w:val="22"/>
          <w:lang w:val="en-GB"/>
        </w:rPr>
        <w:endnoteReference w:id="86"/>
      </w:r>
      <w:r w:rsidR="00C56B5D" w:rsidRPr="006156FF">
        <w:rPr>
          <w:rFonts w:asciiTheme="minorHAnsi" w:eastAsia="Times New Roman" w:hAnsiTheme="minorHAnsi" w:cs="Arial"/>
          <w:color w:val="auto"/>
          <w:sz w:val="22"/>
          <w:szCs w:val="22"/>
          <w:lang w:val="en-GB"/>
        </w:rPr>
        <w:t>.</w:t>
      </w:r>
      <w:r>
        <w:rPr>
          <w:rFonts w:asciiTheme="minorHAnsi" w:eastAsia="Times New Roman" w:hAnsiTheme="minorHAnsi" w:cs="Arial"/>
          <w:color w:val="auto"/>
          <w:sz w:val="22"/>
          <w:szCs w:val="22"/>
          <w:lang w:val="en-GB"/>
        </w:rPr>
        <w:t xml:space="preserve"> </w:t>
      </w:r>
      <w:r w:rsidRPr="006156FF">
        <w:rPr>
          <w:rStyle w:val="BodyTextChar"/>
          <w:rFonts w:asciiTheme="minorHAnsi" w:hAnsiTheme="minorHAnsi"/>
          <w:sz w:val="22"/>
          <w:szCs w:val="22"/>
        </w:rPr>
        <w:t>It centres practice on what is safe and meaningful to people seeking support and partners with them to deliver holistic, strengths-based and trauma responsive services</w:t>
      </w:r>
      <w:r w:rsidRPr="006156FF">
        <w:rPr>
          <w:rStyle w:val="BodyTextChar"/>
          <w:rFonts w:asciiTheme="minorHAnsi" w:hAnsiTheme="minorHAnsi"/>
          <w:sz w:val="22"/>
          <w:szCs w:val="22"/>
          <w:vertAlign w:val="superscript"/>
        </w:rPr>
        <w:endnoteReference w:id="87"/>
      </w:r>
      <w:r w:rsidRPr="006156FF">
        <w:rPr>
          <w:rStyle w:val="BodyTextChar"/>
          <w:rFonts w:asciiTheme="minorHAnsi" w:hAnsiTheme="minorHAnsi"/>
          <w:sz w:val="22"/>
          <w:szCs w:val="22"/>
        </w:rPr>
        <w:t>.</w:t>
      </w:r>
      <w:r w:rsidRPr="006156FF">
        <w:rPr>
          <w:rStyle w:val="BodyTextChar"/>
          <w:rFonts w:asciiTheme="minorHAnsi" w:hAnsiTheme="minorHAnsi"/>
          <w:sz w:val="22"/>
          <w:szCs w:val="22"/>
          <w:vertAlign w:val="superscript"/>
        </w:rPr>
        <w:t xml:space="preserve"> </w:t>
      </w:r>
    </w:p>
    <w:p w14:paraId="1E980A54" w14:textId="127F4F87" w:rsidR="00C84F9D" w:rsidRPr="006156FF" w:rsidRDefault="00C84F9D" w:rsidP="00B13429">
      <w:pPr>
        <w:numPr>
          <w:ilvl w:val="0"/>
          <w:numId w:val="32"/>
        </w:numPr>
        <w:tabs>
          <w:tab w:val="left" w:pos="357"/>
          <w:tab w:val="left" w:pos="714"/>
          <w:tab w:val="left" w:pos="2552"/>
        </w:tabs>
        <w:spacing w:before="120" w:after="120"/>
        <w:rPr>
          <w:rFonts w:asciiTheme="minorHAnsi" w:eastAsia="Times New Roman" w:hAnsiTheme="minorHAnsi" w:cs="Arial"/>
          <w:color w:val="auto"/>
          <w:sz w:val="22"/>
          <w:szCs w:val="22"/>
          <w:lang w:val="en-GB"/>
        </w:rPr>
      </w:pPr>
      <w:r w:rsidRPr="006156FF">
        <w:rPr>
          <w:rFonts w:asciiTheme="minorHAnsi" w:eastAsia="Times New Roman" w:hAnsiTheme="minorHAnsi" w:cs="Arial"/>
          <w:color w:val="auto"/>
          <w:sz w:val="22"/>
          <w:szCs w:val="22"/>
          <w:lang w:val="en-GB"/>
        </w:rPr>
        <w:t>A person-centred approach requires a coordinated approach to service delivery as no service can meet all of a person’s needs (</w:t>
      </w:r>
      <w:r w:rsidR="008C7387">
        <w:rPr>
          <w:rFonts w:asciiTheme="minorHAnsi" w:eastAsia="Times New Roman" w:hAnsiTheme="minorHAnsi" w:cs="Arial"/>
          <w:color w:val="auto"/>
          <w:sz w:val="22"/>
          <w:szCs w:val="22"/>
          <w:lang w:val="en-GB"/>
        </w:rPr>
        <w:t xml:space="preserve">also see </w:t>
      </w:r>
      <w:r w:rsidRPr="008C7387">
        <w:rPr>
          <w:rFonts w:asciiTheme="minorHAnsi" w:eastAsia="Times New Roman" w:hAnsiTheme="minorHAnsi" w:cs="Arial"/>
          <w:i/>
          <w:iCs/>
          <w:color w:val="auto"/>
          <w:sz w:val="22"/>
          <w:szCs w:val="22"/>
          <w:lang w:val="en-GB"/>
        </w:rPr>
        <w:t>Local decision making and service delivery</w:t>
      </w:r>
      <w:r w:rsidRPr="006156FF">
        <w:rPr>
          <w:rFonts w:asciiTheme="minorHAnsi" w:eastAsia="Times New Roman" w:hAnsiTheme="minorHAnsi" w:cs="Arial"/>
          <w:color w:val="auto"/>
          <w:sz w:val="22"/>
          <w:szCs w:val="22"/>
          <w:lang w:val="en-GB"/>
        </w:rPr>
        <w:t xml:space="preserve"> and </w:t>
      </w:r>
      <w:r w:rsidRPr="008C7387">
        <w:rPr>
          <w:rFonts w:asciiTheme="minorHAnsi" w:eastAsia="Times New Roman" w:hAnsiTheme="minorHAnsi" w:cs="Arial"/>
          <w:i/>
          <w:iCs/>
          <w:color w:val="auto"/>
          <w:sz w:val="22"/>
          <w:szCs w:val="22"/>
          <w:lang w:val="en-GB"/>
        </w:rPr>
        <w:t>Integrated service system</w:t>
      </w:r>
      <w:r w:rsidRPr="006156FF">
        <w:rPr>
          <w:rFonts w:asciiTheme="minorHAnsi" w:eastAsia="Times New Roman" w:hAnsiTheme="minorHAnsi" w:cs="Arial"/>
          <w:color w:val="auto"/>
          <w:sz w:val="22"/>
          <w:szCs w:val="22"/>
          <w:lang w:val="en-GB"/>
        </w:rPr>
        <w:t xml:space="preserve"> below). A person-centred approach is supported by flexible contracting to allow services to be flexible and provide a tailored service.</w:t>
      </w:r>
    </w:p>
    <w:p w14:paraId="72F6B308" w14:textId="31E2642D" w:rsidR="00C84F9D" w:rsidRPr="006156FF" w:rsidRDefault="008C7387" w:rsidP="00B13429">
      <w:pPr>
        <w:numPr>
          <w:ilvl w:val="0"/>
          <w:numId w:val="32"/>
        </w:numPr>
        <w:tabs>
          <w:tab w:val="left" w:pos="357"/>
          <w:tab w:val="left" w:pos="714"/>
          <w:tab w:val="left" w:pos="2552"/>
        </w:tabs>
        <w:spacing w:before="120" w:after="120"/>
        <w:rPr>
          <w:rFonts w:asciiTheme="minorHAnsi" w:eastAsia="Times New Roman" w:hAnsiTheme="minorHAnsi"/>
          <w:color w:val="auto"/>
        </w:rPr>
      </w:pPr>
      <w:r>
        <w:rPr>
          <w:rFonts w:asciiTheme="minorHAnsi" w:eastAsia="Times New Roman" w:hAnsiTheme="minorHAnsi" w:cs="Arial"/>
          <w:color w:val="auto"/>
          <w:sz w:val="22"/>
          <w:szCs w:val="22"/>
          <w:lang w:val="en-GB"/>
        </w:rPr>
        <w:t xml:space="preserve">The </w:t>
      </w:r>
      <w:r w:rsidR="00C84F9D" w:rsidRPr="006156FF">
        <w:rPr>
          <w:rFonts w:asciiTheme="minorHAnsi" w:eastAsia="Times New Roman" w:hAnsiTheme="minorHAnsi" w:cs="Arial"/>
          <w:color w:val="auto"/>
          <w:sz w:val="22"/>
          <w:szCs w:val="22"/>
          <w:lang w:val="en-GB"/>
        </w:rPr>
        <w:t>Productivity Commission’s review of the National Housing and Homelessness Agreement recommends trialling flexible funding</w:t>
      </w:r>
      <w:r w:rsidR="00C84F9D" w:rsidRPr="006156FF">
        <w:rPr>
          <w:rFonts w:asciiTheme="minorHAnsi" w:eastAsia="Times New Roman" w:hAnsiTheme="minorHAnsi"/>
          <w:color w:val="auto"/>
          <w:sz w:val="22"/>
          <w:szCs w:val="22"/>
        </w:rPr>
        <w:t xml:space="preserve"> that allows services to provide supports for as long as they are needed</w:t>
      </w:r>
      <w:r w:rsidR="00B827BA" w:rsidRPr="006156FF">
        <w:rPr>
          <w:rStyle w:val="EndnoteReference"/>
          <w:rFonts w:asciiTheme="minorHAnsi" w:eastAsia="Times New Roman" w:hAnsiTheme="minorHAnsi"/>
          <w:color w:val="auto"/>
        </w:rPr>
        <w:endnoteReference w:id="88"/>
      </w:r>
      <w:r w:rsidR="00C56B5D" w:rsidRPr="006156FF">
        <w:rPr>
          <w:rFonts w:asciiTheme="minorHAnsi" w:eastAsia="Times New Roman" w:hAnsiTheme="minorHAnsi"/>
          <w:color w:val="auto"/>
        </w:rPr>
        <w:t>.</w:t>
      </w:r>
    </w:p>
    <w:p w14:paraId="4B460941" w14:textId="6AF4B2A0" w:rsidR="00C84F9D" w:rsidRPr="006156FF" w:rsidRDefault="00CC78B8" w:rsidP="00B13429">
      <w:pPr>
        <w:numPr>
          <w:ilvl w:val="0"/>
          <w:numId w:val="32"/>
        </w:numPr>
        <w:tabs>
          <w:tab w:val="left" w:pos="357"/>
          <w:tab w:val="left" w:pos="714"/>
          <w:tab w:val="left" w:pos="2552"/>
        </w:tabs>
        <w:spacing w:before="120" w:after="120"/>
        <w:rPr>
          <w:rFonts w:asciiTheme="minorHAnsi" w:hAnsiTheme="minorHAnsi"/>
        </w:rPr>
      </w:pPr>
      <w:r w:rsidRPr="006156FF">
        <w:rPr>
          <w:rFonts w:asciiTheme="minorHAnsi" w:eastAsia="Times New Roman" w:hAnsiTheme="minorHAnsi" w:cs="Arial"/>
          <w:color w:val="auto"/>
          <w:sz w:val="22"/>
          <w:szCs w:val="22"/>
          <w:lang w:val="en-GB"/>
        </w:rPr>
        <w:t>Person-centred practice focuses on people, families, and communities rather than services and systems. It centres practice on what is safe and meaningful to people seeking support. It seeks to partner with people who are without a home to deliver holistic, strengths-based and trauma responsive services to all people</w:t>
      </w:r>
      <w:r w:rsidR="00C56B5D" w:rsidRPr="006156FF">
        <w:rPr>
          <w:rStyle w:val="EndnoteReference"/>
          <w:rFonts w:asciiTheme="minorHAnsi" w:eastAsia="Times New Roman" w:hAnsiTheme="minorHAnsi" w:cs="Arial"/>
          <w:color w:val="auto"/>
          <w:sz w:val="22"/>
          <w:szCs w:val="22"/>
          <w:lang w:val="en-GB"/>
        </w:rPr>
        <w:endnoteReference w:id="89"/>
      </w:r>
      <w:r w:rsidR="00C56B5D" w:rsidRPr="006156FF">
        <w:rPr>
          <w:rFonts w:asciiTheme="minorHAnsi" w:eastAsia="Times New Roman" w:hAnsiTheme="minorHAnsi" w:cs="Arial"/>
          <w:color w:val="auto"/>
          <w:sz w:val="22"/>
          <w:szCs w:val="22"/>
          <w:lang w:val="en-GB"/>
        </w:rPr>
        <w:t>.</w:t>
      </w:r>
    </w:p>
    <w:p w14:paraId="6BFAC2AB" w14:textId="15F59159" w:rsidR="002D4D94" w:rsidRPr="006156FF" w:rsidRDefault="004B2F86" w:rsidP="002D4D94">
      <w:pPr>
        <w:pStyle w:val="Heading2"/>
      </w:pPr>
      <w:bookmarkStart w:id="11" w:name="_Toc171943317"/>
      <w:r>
        <w:t>Serv</w:t>
      </w:r>
      <w:r w:rsidR="007D4B09">
        <w:t>i</w:t>
      </w:r>
      <w:r>
        <w:t>ce planning and delivery is f</w:t>
      </w:r>
      <w:r w:rsidRPr="006156FF">
        <w:t>lexible</w:t>
      </w:r>
      <w:r w:rsidR="00D72C4E">
        <w:t>.</w:t>
      </w:r>
      <w:r>
        <w:t xml:space="preserve"> </w:t>
      </w:r>
      <w:bookmarkEnd w:id="11"/>
      <w:r w:rsidR="00D72C4E" w:rsidRPr="006156FF">
        <w:t xml:space="preserve">localised </w:t>
      </w:r>
      <w:r w:rsidR="00D72C4E">
        <w:t>and joined up</w:t>
      </w:r>
    </w:p>
    <w:p w14:paraId="6B66757C" w14:textId="321E99BF" w:rsidR="00A13E6B" w:rsidRPr="006156FF" w:rsidRDefault="00A13E6B" w:rsidP="00B13429">
      <w:pPr>
        <w:pStyle w:val="ListParagraph"/>
        <w:numPr>
          <w:ilvl w:val="0"/>
          <w:numId w:val="33"/>
        </w:numPr>
        <w:suppressAutoHyphens w:val="0"/>
        <w:spacing w:after="120" w:line="259" w:lineRule="auto"/>
        <w:ind w:left="357" w:hanging="357"/>
        <w:contextualSpacing w:val="0"/>
        <w:rPr>
          <w:rFonts w:asciiTheme="minorHAnsi" w:hAnsiTheme="minorHAnsi"/>
          <w:color w:val="auto"/>
          <w:sz w:val="22"/>
          <w:szCs w:val="22"/>
        </w:rPr>
      </w:pPr>
      <w:r w:rsidRPr="006156FF">
        <w:rPr>
          <w:rFonts w:asciiTheme="minorHAnsi" w:hAnsiTheme="minorHAnsi"/>
          <w:color w:val="auto"/>
          <w:sz w:val="22"/>
          <w:szCs w:val="22"/>
        </w:rPr>
        <w:t>Flexible, localised planning, design and delivery (also known as ‘place-based’) empowers local communities to assess their specific needs and co-design service solutions with relevant stakeholders, including community leaders, people with lived experience, and service providers.</w:t>
      </w:r>
    </w:p>
    <w:p w14:paraId="66BC296C" w14:textId="2253D0CC" w:rsidR="00B453CD" w:rsidRPr="00A4065C" w:rsidRDefault="00B453CD" w:rsidP="00B13429">
      <w:pPr>
        <w:pStyle w:val="ListParagraph"/>
        <w:numPr>
          <w:ilvl w:val="0"/>
          <w:numId w:val="33"/>
        </w:numPr>
        <w:suppressAutoHyphens w:val="0"/>
        <w:spacing w:after="120" w:line="259" w:lineRule="auto"/>
        <w:ind w:left="357" w:hanging="357"/>
        <w:contextualSpacing w:val="0"/>
        <w:rPr>
          <w:rFonts w:asciiTheme="minorHAnsi" w:hAnsiTheme="minorHAnsi"/>
          <w:color w:val="auto"/>
          <w:sz w:val="22"/>
          <w:szCs w:val="22"/>
        </w:rPr>
      </w:pPr>
      <w:r w:rsidRPr="00A4065C">
        <w:rPr>
          <w:rFonts w:asciiTheme="minorHAnsi" w:hAnsiTheme="minorHAnsi"/>
          <w:color w:val="auto"/>
          <w:sz w:val="22"/>
          <w:szCs w:val="22"/>
        </w:rPr>
        <w:t xml:space="preserve">Place-based approaches are producing positive results in Australia and globally, including greater uptake of services within communities and improved use of community assets and </w:t>
      </w:r>
      <w:r w:rsidRPr="00A4065C">
        <w:rPr>
          <w:rFonts w:asciiTheme="minorHAnsi" w:hAnsiTheme="minorHAnsi"/>
          <w:color w:val="auto"/>
          <w:sz w:val="22"/>
          <w:szCs w:val="22"/>
        </w:rPr>
        <w:lastRenderedPageBreak/>
        <w:t>infrastructure</w:t>
      </w:r>
      <w:r w:rsidRPr="00A4065C">
        <w:rPr>
          <w:color w:val="auto"/>
          <w:sz w:val="22"/>
          <w:szCs w:val="22"/>
          <w:vertAlign w:val="superscript"/>
        </w:rPr>
        <w:endnoteReference w:id="90"/>
      </w:r>
      <w:r w:rsidRPr="00A4065C">
        <w:rPr>
          <w:rFonts w:asciiTheme="minorHAnsi" w:hAnsiTheme="minorHAnsi"/>
          <w:color w:val="auto"/>
          <w:sz w:val="22"/>
          <w:szCs w:val="22"/>
        </w:rPr>
        <w:t>. This leads to better outcomes for families and economic benefits to the broader service system. Best practice indicates that the development and implementation of homelessness strategies should be based on place-based assessment of demand and suitability</w:t>
      </w:r>
      <w:r w:rsidR="003041FD" w:rsidRPr="003041FD">
        <w:rPr>
          <w:rFonts w:asciiTheme="minorHAnsi" w:hAnsiTheme="minorHAnsi"/>
          <w:color w:val="auto"/>
          <w:sz w:val="22"/>
          <w:szCs w:val="22"/>
          <w:vertAlign w:val="superscript"/>
        </w:rPr>
        <w:endnoteReference w:id="91"/>
      </w:r>
      <w:r w:rsidR="003041FD">
        <w:rPr>
          <w:rFonts w:asciiTheme="minorHAnsi" w:hAnsiTheme="minorHAnsi"/>
          <w:color w:val="auto"/>
          <w:sz w:val="22"/>
          <w:szCs w:val="22"/>
        </w:rPr>
        <w:t>.</w:t>
      </w:r>
    </w:p>
    <w:p w14:paraId="0E0B014D" w14:textId="2C0505BD" w:rsidR="002D4D94" w:rsidRPr="006156FF" w:rsidRDefault="002D4D94" w:rsidP="00B13429">
      <w:pPr>
        <w:pStyle w:val="ListParagraph"/>
        <w:numPr>
          <w:ilvl w:val="0"/>
          <w:numId w:val="33"/>
        </w:numPr>
        <w:suppressAutoHyphens w:val="0"/>
        <w:spacing w:after="120" w:line="259" w:lineRule="auto"/>
        <w:ind w:left="357" w:hanging="357"/>
        <w:contextualSpacing w:val="0"/>
        <w:rPr>
          <w:rFonts w:asciiTheme="minorHAnsi" w:hAnsiTheme="minorHAnsi"/>
          <w:color w:val="auto"/>
          <w:sz w:val="22"/>
          <w:szCs w:val="22"/>
        </w:rPr>
      </w:pPr>
      <w:r w:rsidRPr="006156FF">
        <w:rPr>
          <w:rFonts w:asciiTheme="minorHAnsi" w:hAnsiTheme="minorHAnsi"/>
          <w:color w:val="auto"/>
          <w:sz w:val="22"/>
          <w:szCs w:val="22"/>
        </w:rPr>
        <w:t>The House of Representatives Standing Committee on Social Policy and Legal Affairs inquiry into homelessness in Australia recommends a more integrated ‘place-based’ approach to homelessness prevention and early intervention, with a national strategic framework for prevention and early intervention; localised structural support and resources to support ‘place-based’ programs; and funding for ‘place-based’ research and pilot programs</w:t>
      </w:r>
      <w:r w:rsidRPr="006156FF">
        <w:rPr>
          <w:rStyle w:val="EndnoteReference"/>
          <w:rFonts w:asciiTheme="minorHAnsi" w:hAnsiTheme="minorHAnsi"/>
          <w:color w:val="auto"/>
          <w:sz w:val="22"/>
          <w:szCs w:val="22"/>
        </w:rPr>
        <w:endnoteReference w:id="92"/>
      </w:r>
      <w:r w:rsidR="00C56B5D" w:rsidRPr="006156FF">
        <w:rPr>
          <w:rFonts w:asciiTheme="minorHAnsi" w:hAnsiTheme="minorHAnsi"/>
          <w:color w:val="auto"/>
          <w:sz w:val="22"/>
          <w:szCs w:val="22"/>
        </w:rPr>
        <w:t>.</w:t>
      </w:r>
    </w:p>
    <w:p w14:paraId="573D9F18" w14:textId="6E5A406A" w:rsidR="002D4D94" w:rsidRPr="00D72C4E" w:rsidRDefault="002D4D94" w:rsidP="00B13429">
      <w:pPr>
        <w:pStyle w:val="ListParagraph"/>
        <w:numPr>
          <w:ilvl w:val="0"/>
          <w:numId w:val="33"/>
        </w:numPr>
        <w:suppressAutoHyphens w:val="0"/>
        <w:spacing w:after="120" w:line="239" w:lineRule="auto"/>
        <w:ind w:left="357" w:hanging="357"/>
        <w:contextualSpacing w:val="0"/>
        <w:rPr>
          <w:rFonts w:asciiTheme="minorHAnsi" w:hAnsiTheme="minorHAnsi"/>
          <w:color w:val="auto"/>
        </w:rPr>
      </w:pPr>
      <w:r w:rsidRPr="006156FF">
        <w:rPr>
          <w:rFonts w:asciiTheme="minorHAnsi" w:hAnsiTheme="minorHAnsi"/>
          <w:color w:val="auto"/>
          <w:sz w:val="22"/>
          <w:szCs w:val="22"/>
          <w:lang w:eastAsia="en-AU"/>
        </w:rPr>
        <w:t xml:space="preserve">The </w:t>
      </w:r>
      <w:r w:rsidRPr="006156FF">
        <w:rPr>
          <w:rFonts w:asciiTheme="minorHAnsi" w:hAnsiTheme="minorHAnsi"/>
          <w:color w:val="auto"/>
          <w:sz w:val="22"/>
          <w:szCs w:val="22"/>
        </w:rPr>
        <w:t xml:space="preserve">NSW Legislative Council Standing Committee on Social Issues </w:t>
      </w:r>
      <w:r w:rsidR="004255B6">
        <w:rPr>
          <w:rFonts w:asciiTheme="minorHAnsi" w:hAnsiTheme="minorHAnsi"/>
          <w:color w:val="auto"/>
          <w:sz w:val="22"/>
          <w:szCs w:val="22"/>
        </w:rPr>
        <w:t>I</w:t>
      </w:r>
      <w:r w:rsidRPr="006156FF">
        <w:rPr>
          <w:rFonts w:asciiTheme="minorHAnsi" w:hAnsiTheme="minorHAnsi"/>
          <w:color w:val="auto"/>
          <w:sz w:val="22"/>
          <w:szCs w:val="22"/>
        </w:rPr>
        <w:t xml:space="preserve">nquiry into homelessness amongst older people aged over 55 in New South Wales </w:t>
      </w:r>
      <w:r w:rsidRPr="006156FF">
        <w:rPr>
          <w:rFonts w:asciiTheme="minorHAnsi" w:hAnsiTheme="minorHAnsi"/>
          <w:color w:val="auto"/>
          <w:sz w:val="22"/>
          <w:szCs w:val="22"/>
          <w:lang w:eastAsia="en-AU"/>
        </w:rPr>
        <w:t>recommends the NSW Government consid</w:t>
      </w:r>
      <w:r w:rsidRPr="006156FF">
        <w:rPr>
          <w:rFonts w:asciiTheme="minorHAnsi" w:hAnsiTheme="minorHAnsi"/>
          <w:color w:val="auto"/>
          <w:sz w:val="22"/>
          <w:szCs w:val="22"/>
        </w:rPr>
        <w:t>er additional funding and support to place-based services that target older people who are experiencing homelessness</w:t>
      </w:r>
      <w:r w:rsidRPr="006156FF">
        <w:rPr>
          <w:rStyle w:val="EndnoteReference"/>
          <w:rFonts w:asciiTheme="minorHAnsi" w:hAnsiTheme="minorHAnsi"/>
          <w:color w:val="auto"/>
          <w:sz w:val="22"/>
          <w:szCs w:val="22"/>
        </w:rPr>
        <w:endnoteReference w:id="93"/>
      </w:r>
      <w:r w:rsidR="00C56B5D" w:rsidRPr="006156FF">
        <w:rPr>
          <w:rFonts w:asciiTheme="minorHAnsi" w:hAnsiTheme="minorHAnsi"/>
          <w:color w:val="auto"/>
          <w:sz w:val="22"/>
          <w:szCs w:val="22"/>
        </w:rPr>
        <w:t>.</w:t>
      </w:r>
      <w:r w:rsidRPr="006156FF">
        <w:rPr>
          <w:rFonts w:asciiTheme="minorHAnsi" w:hAnsiTheme="minorHAnsi"/>
          <w:color w:val="auto"/>
          <w:sz w:val="22"/>
          <w:szCs w:val="22"/>
        </w:rPr>
        <w:t xml:space="preserve"> </w:t>
      </w:r>
    </w:p>
    <w:p w14:paraId="02F43E0B" w14:textId="77777777" w:rsidR="00D72C4E" w:rsidRPr="006156FF" w:rsidRDefault="00D72C4E" w:rsidP="00B13429">
      <w:pPr>
        <w:numPr>
          <w:ilvl w:val="0"/>
          <w:numId w:val="42"/>
        </w:numPr>
        <w:suppressAutoHyphens w:val="0"/>
        <w:spacing w:after="120" w:line="259" w:lineRule="auto"/>
        <w:rPr>
          <w:rFonts w:asciiTheme="minorHAnsi" w:eastAsia="Times New Roman" w:hAnsiTheme="minorHAnsi"/>
          <w:color w:val="auto"/>
          <w:sz w:val="22"/>
          <w:szCs w:val="22"/>
          <w:lang w:eastAsia="en-AU"/>
        </w:rPr>
      </w:pPr>
      <w:r w:rsidRPr="006156FF">
        <w:rPr>
          <w:rFonts w:asciiTheme="minorHAnsi" w:eastAsia="Times New Roman" w:hAnsiTheme="minorHAnsi" w:cs="Times New Roman"/>
          <w:color w:val="auto"/>
          <w:sz w:val="22"/>
          <w:szCs w:val="22"/>
          <w:lang w:eastAsia="en-US"/>
        </w:rPr>
        <w:t xml:space="preserve">A human rights approach recognises that homelessness is a complex social problem that intersects with a range of other social, economic, health and justice issues. It is more than a housing issue. It involves establishing integrated cross-sectoral responses, involving mainstream systems and specialist services </w:t>
      </w:r>
      <w:r w:rsidRPr="006156FF">
        <w:rPr>
          <w:rFonts w:asciiTheme="minorHAnsi" w:eastAsia="Times New Roman" w:hAnsiTheme="minorHAnsi"/>
          <w:color w:val="auto"/>
          <w:sz w:val="22"/>
          <w:szCs w:val="22"/>
          <w:lang w:eastAsia="en-AU"/>
        </w:rPr>
        <w:t>that addresses the many causes and effects of homelessness</w:t>
      </w:r>
      <w:r w:rsidRPr="006156FF">
        <w:rPr>
          <w:rStyle w:val="EndnoteReference"/>
          <w:rFonts w:asciiTheme="minorHAnsi" w:eastAsia="Times New Roman" w:hAnsiTheme="minorHAnsi"/>
          <w:color w:val="auto"/>
          <w:sz w:val="22"/>
          <w:szCs w:val="22"/>
          <w:lang w:eastAsia="en-AU"/>
        </w:rPr>
        <w:endnoteReference w:id="94"/>
      </w:r>
      <w:r w:rsidRPr="006156FF">
        <w:rPr>
          <w:rFonts w:asciiTheme="minorHAnsi" w:eastAsia="Times New Roman" w:hAnsiTheme="minorHAnsi"/>
          <w:color w:val="auto"/>
          <w:sz w:val="22"/>
          <w:szCs w:val="22"/>
          <w:lang w:eastAsia="en-AU"/>
        </w:rPr>
        <w:t>.</w:t>
      </w:r>
    </w:p>
    <w:p w14:paraId="6EFCD162" w14:textId="77777777" w:rsidR="00D72C4E" w:rsidRPr="006156FF" w:rsidRDefault="00D72C4E" w:rsidP="00B13429">
      <w:pPr>
        <w:numPr>
          <w:ilvl w:val="0"/>
          <w:numId w:val="42"/>
        </w:numPr>
        <w:suppressAutoHyphens w:val="0"/>
        <w:spacing w:after="120" w:line="259" w:lineRule="auto"/>
        <w:rPr>
          <w:rFonts w:asciiTheme="minorHAnsi" w:hAnsiTheme="minorHAnsi"/>
          <w:color w:val="auto"/>
          <w:sz w:val="22"/>
          <w:szCs w:val="22"/>
        </w:rPr>
      </w:pPr>
      <w:r w:rsidRPr="006156FF">
        <w:rPr>
          <w:rFonts w:asciiTheme="minorHAnsi" w:eastAsia="Times New Roman" w:hAnsiTheme="minorHAnsi"/>
          <w:color w:val="auto"/>
          <w:sz w:val="22"/>
          <w:szCs w:val="22"/>
          <w:lang w:eastAsia="en-AU"/>
        </w:rPr>
        <w:t>Evidence from the UK and elsewhere suggests that the struggle for stable housing both shapes and is shaped by numerous factors such as financial stability, housing market dynamics, access to health care and involvement with the care system. To drive long term change, we must consider the drivers and root causes of the issue. A systems-thinking approach allows us to understand homelessness as a complex and adaptive system, which requires an integrated response</w:t>
      </w:r>
      <w:r w:rsidRPr="006156FF">
        <w:rPr>
          <w:rStyle w:val="EndnoteReference"/>
          <w:rFonts w:asciiTheme="minorHAnsi" w:hAnsiTheme="minorHAnsi"/>
          <w:color w:val="auto"/>
          <w:sz w:val="22"/>
          <w:szCs w:val="22"/>
        </w:rPr>
        <w:endnoteReference w:id="95"/>
      </w:r>
      <w:r w:rsidRPr="006156FF">
        <w:rPr>
          <w:rFonts w:asciiTheme="minorHAnsi" w:eastAsia="Times New Roman" w:hAnsiTheme="minorHAnsi"/>
          <w:color w:val="auto"/>
          <w:sz w:val="22"/>
          <w:szCs w:val="22"/>
          <w:lang w:eastAsia="en-AU"/>
        </w:rPr>
        <w:t>.</w:t>
      </w:r>
    </w:p>
    <w:p w14:paraId="73F98EF1" w14:textId="2D89F815" w:rsidR="00D72C4E" w:rsidRPr="006156FF" w:rsidRDefault="00D72C4E" w:rsidP="00B13429">
      <w:pPr>
        <w:numPr>
          <w:ilvl w:val="0"/>
          <w:numId w:val="42"/>
        </w:numPr>
        <w:suppressAutoHyphens w:val="0"/>
        <w:spacing w:after="120" w:line="259" w:lineRule="auto"/>
        <w:rPr>
          <w:rFonts w:asciiTheme="minorHAnsi" w:hAnsiTheme="minorHAnsi"/>
          <w:color w:val="auto"/>
          <w:sz w:val="22"/>
          <w:szCs w:val="22"/>
        </w:rPr>
      </w:pPr>
      <w:r w:rsidRPr="006156FF">
        <w:rPr>
          <w:rFonts w:asciiTheme="minorHAnsi" w:hAnsiTheme="minorHAnsi"/>
          <w:color w:val="auto"/>
          <w:sz w:val="22"/>
          <w:szCs w:val="22"/>
        </w:rPr>
        <w:t>The Audit Office of NSW recommend</w:t>
      </w:r>
      <w:r w:rsidR="004255B6">
        <w:rPr>
          <w:rFonts w:asciiTheme="minorHAnsi" w:hAnsiTheme="minorHAnsi"/>
          <w:color w:val="auto"/>
          <w:sz w:val="22"/>
          <w:szCs w:val="22"/>
        </w:rPr>
        <w:t>ed</w:t>
      </w:r>
      <w:r w:rsidRPr="006156FF">
        <w:rPr>
          <w:rFonts w:asciiTheme="minorHAnsi" w:hAnsiTheme="minorHAnsi"/>
          <w:color w:val="auto"/>
          <w:sz w:val="22"/>
          <w:szCs w:val="22"/>
        </w:rPr>
        <w:t xml:space="preserve"> DCJ establish arrangements that enable partner agencies, the specialist homelessness services sector, the community housing sector, Aboriginal people and people with lived experience of homelessness to </w:t>
      </w:r>
      <w:r w:rsidR="009B7352">
        <w:rPr>
          <w:rFonts w:asciiTheme="minorHAnsi" w:hAnsiTheme="minorHAnsi"/>
          <w:color w:val="auto"/>
          <w:sz w:val="22"/>
          <w:szCs w:val="22"/>
        </w:rPr>
        <w:t>inform</w:t>
      </w:r>
      <w:r w:rsidRPr="006156FF">
        <w:rPr>
          <w:rFonts w:asciiTheme="minorHAnsi" w:hAnsiTheme="minorHAnsi"/>
          <w:color w:val="auto"/>
          <w:sz w:val="22"/>
          <w:szCs w:val="22"/>
        </w:rPr>
        <w:t xml:space="preserve"> key </w:t>
      </w:r>
      <w:r w:rsidR="009B7352">
        <w:rPr>
          <w:rFonts w:asciiTheme="minorHAnsi" w:hAnsiTheme="minorHAnsi"/>
          <w:color w:val="auto"/>
          <w:sz w:val="22"/>
          <w:szCs w:val="22"/>
        </w:rPr>
        <w:t xml:space="preserve">homelessness policy </w:t>
      </w:r>
      <w:r w:rsidRPr="006156FF">
        <w:rPr>
          <w:rFonts w:asciiTheme="minorHAnsi" w:hAnsiTheme="minorHAnsi"/>
          <w:color w:val="auto"/>
          <w:sz w:val="22"/>
          <w:szCs w:val="22"/>
        </w:rPr>
        <w:t>decisions</w:t>
      </w:r>
      <w:r w:rsidRPr="006156FF">
        <w:rPr>
          <w:rFonts w:asciiTheme="minorHAnsi" w:hAnsiTheme="minorHAnsi"/>
          <w:color w:val="auto"/>
          <w:sz w:val="22"/>
          <w:szCs w:val="22"/>
          <w:vertAlign w:val="superscript"/>
        </w:rPr>
        <w:endnoteReference w:id="96"/>
      </w:r>
      <w:r w:rsidRPr="006156FF">
        <w:rPr>
          <w:rFonts w:asciiTheme="minorHAnsi" w:hAnsiTheme="minorHAnsi"/>
          <w:color w:val="auto"/>
          <w:sz w:val="22"/>
          <w:szCs w:val="22"/>
        </w:rPr>
        <w:t>.</w:t>
      </w:r>
    </w:p>
    <w:p w14:paraId="47EDAB83" w14:textId="77777777" w:rsidR="00D72C4E" w:rsidRPr="006156FF" w:rsidRDefault="00D72C4E" w:rsidP="00B13429">
      <w:pPr>
        <w:numPr>
          <w:ilvl w:val="0"/>
          <w:numId w:val="44"/>
        </w:numPr>
        <w:suppressAutoHyphens w:val="0"/>
        <w:spacing w:after="120" w:line="259" w:lineRule="auto"/>
        <w:rPr>
          <w:rFonts w:asciiTheme="minorHAnsi" w:hAnsiTheme="minorHAnsi"/>
          <w:color w:val="auto"/>
          <w:sz w:val="22"/>
          <w:szCs w:val="22"/>
        </w:rPr>
      </w:pPr>
      <w:r w:rsidRPr="006156FF">
        <w:rPr>
          <w:rFonts w:asciiTheme="minorHAnsi" w:hAnsiTheme="minorHAnsi"/>
          <w:color w:val="auto"/>
          <w:sz w:val="22"/>
          <w:szCs w:val="22"/>
        </w:rPr>
        <w:t>Research on how to improve support for people exiting institutional settings found that:</w:t>
      </w:r>
    </w:p>
    <w:p w14:paraId="03D99317" w14:textId="77777777" w:rsidR="00D72C4E" w:rsidRPr="006156FF" w:rsidRDefault="00D72C4E" w:rsidP="00B13429">
      <w:pPr>
        <w:numPr>
          <w:ilvl w:val="0"/>
          <w:numId w:val="43"/>
        </w:numPr>
        <w:suppressAutoHyphens w:val="0"/>
        <w:spacing w:after="120" w:line="259" w:lineRule="auto"/>
        <w:ind w:hanging="357"/>
        <w:rPr>
          <w:rFonts w:asciiTheme="minorHAnsi" w:hAnsiTheme="minorHAnsi"/>
          <w:color w:val="auto"/>
          <w:sz w:val="22"/>
          <w:szCs w:val="22"/>
        </w:rPr>
      </w:pPr>
      <w:r w:rsidRPr="006156FF">
        <w:rPr>
          <w:rFonts w:asciiTheme="minorHAnsi" w:hAnsiTheme="minorHAnsi"/>
          <w:color w:val="auto"/>
          <w:sz w:val="22"/>
          <w:szCs w:val="22"/>
        </w:rPr>
        <w:t>Transitions out of institutional settings bring significant risks of housing insecurity, which can be reduced by more effective service coordination - especially between systems (e.g. housing, mental health, substance use, family services and corrections).</w:t>
      </w:r>
    </w:p>
    <w:p w14:paraId="4CEC8C4E" w14:textId="5662DF87" w:rsidR="00D72C4E" w:rsidRPr="006156FF" w:rsidRDefault="00D72C4E" w:rsidP="00B13429">
      <w:pPr>
        <w:numPr>
          <w:ilvl w:val="0"/>
          <w:numId w:val="43"/>
        </w:numPr>
        <w:suppressAutoHyphens w:val="0"/>
        <w:spacing w:after="120" w:line="259" w:lineRule="auto"/>
        <w:ind w:hanging="357"/>
        <w:rPr>
          <w:rFonts w:asciiTheme="minorHAnsi" w:hAnsiTheme="minorHAnsi"/>
          <w:color w:val="auto"/>
          <w:sz w:val="22"/>
          <w:szCs w:val="22"/>
        </w:rPr>
      </w:pPr>
      <w:r w:rsidRPr="006156FF">
        <w:rPr>
          <w:rFonts w:asciiTheme="minorHAnsi" w:hAnsiTheme="minorHAnsi"/>
          <w:color w:val="auto"/>
          <w:sz w:val="22"/>
          <w:szCs w:val="22"/>
        </w:rPr>
        <w:t xml:space="preserve">Housing support should become a more explicit part of transition/discharge planning across the mental health, substance use treatment, corrections and </w:t>
      </w:r>
      <w:r w:rsidR="009B7352">
        <w:rPr>
          <w:rFonts w:asciiTheme="minorHAnsi" w:hAnsiTheme="minorHAnsi"/>
          <w:color w:val="auto"/>
          <w:sz w:val="22"/>
          <w:szCs w:val="22"/>
        </w:rPr>
        <w:t>out-of-home care</w:t>
      </w:r>
      <w:r w:rsidRPr="006156FF">
        <w:rPr>
          <w:rFonts w:asciiTheme="minorHAnsi" w:hAnsiTheme="minorHAnsi"/>
          <w:color w:val="auto"/>
          <w:sz w:val="22"/>
          <w:szCs w:val="22"/>
        </w:rPr>
        <w:t xml:space="preserve"> sectors. </w:t>
      </w:r>
    </w:p>
    <w:p w14:paraId="29CF79F5" w14:textId="77777777" w:rsidR="00D72C4E" w:rsidRPr="006156FF" w:rsidRDefault="00D72C4E" w:rsidP="00B13429">
      <w:pPr>
        <w:numPr>
          <w:ilvl w:val="0"/>
          <w:numId w:val="43"/>
        </w:numPr>
        <w:suppressAutoHyphens w:val="0"/>
        <w:spacing w:after="120" w:line="259" w:lineRule="auto"/>
        <w:ind w:hanging="357"/>
        <w:rPr>
          <w:rFonts w:asciiTheme="minorHAnsi" w:hAnsiTheme="minorHAnsi"/>
          <w:color w:val="auto"/>
          <w:sz w:val="22"/>
          <w:szCs w:val="22"/>
        </w:rPr>
      </w:pPr>
      <w:r w:rsidRPr="006156FF">
        <w:rPr>
          <w:rFonts w:asciiTheme="minorHAnsi" w:hAnsiTheme="minorHAnsi"/>
          <w:color w:val="auto"/>
          <w:sz w:val="22"/>
          <w:szCs w:val="22"/>
        </w:rPr>
        <w:t>Service coordination roles can promote service integration. This should be supplemented by greater involvement of ‘peer’ or ‘service user’ representatives.</w:t>
      </w:r>
    </w:p>
    <w:p w14:paraId="17867BE1" w14:textId="77777777" w:rsidR="00D72C4E" w:rsidRPr="006156FF" w:rsidRDefault="00D72C4E" w:rsidP="00B13429">
      <w:pPr>
        <w:numPr>
          <w:ilvl w:val="0"/>
          <w:numId w:val="43"/>
        </w:numPr>
        <w:suppressAutoHyphens w:val="0"/>
        <w:spacing w:after="120" w:line="259" w:lineRule="auto"/>
        <w:ind w:hanging="357"/>
        <w:rPr>
          <w:rFonts w:asciiTheme="minorHAnsi" w:hAnsiTheme="minorHAnsi"/>
          <w:color w:val="auto"/>
          <w:sz w:val="22"/>
          <w:szCs w:val="22"/>
        </w:rPr>
      </w:pPr>
      <w:r w:rsidRPr="006156FF">
        <w:rPr>
          <w:rFonts w:asciiTheme="minorHAnsi" w:hAnsiTheme="minorHAnsi"/>
          <w:color w:val="auto"/>
          <w:sz w:val="22"/>
          <w:szCs w:val="22"/>
        </w:rPr>
        <w:t>‘Best practice’ programs show how services can be effectively coordinated to support improved housing outcomes, using Housing First approach</w:t>
      </w:r>
      <w:r w:rsidRPr="006156FF">
        <w:rPr>
          <w:rFonts w:asciiTheme="minorHAnsi" w:hAnsiTheme="minorHAnsi"/>
          <w:color w:val="auto"/>
          <w:sz w:val="22"/>
          <w:szCs w:val="22"/>
          <w:vertAlign w:val="superscript"/>
        </w:rPr>
        <w:endnoteReference w:id="97"/>
      </w:r>
      <w:r w:rsidRPr="006156FF">
        <w:rPr>
          <w:rFonts w:asciiTheme="minorHAnsi" w:hAnsiTheme="minorHAnsi"/>
          <w:color w:val="auto"/>
          <w:sz w:val="22"/>
          <w:szCs w:val="22"/>
        </w:rPr>
        <w:t>.</w:t>
      </w:r>
    </w:p>
    <w:p w14:paraId="71D4920F" w14:textId="631C5269" w:rsidR="00D72C4E" w:rsidRDefault="00D72C4E" w:rsidP="00B13429">
      <w:pPr>
        <w:numPr>
          <w:ilvl w:val="0"/>
          <w:numId w:val="44"/>
        </w:numPr>
        <w:suppressAutoHyphens w:val="0"/>
        <w:spacing w:after="120" w:line="259" w:lineRule="auto"/>
        <w:rPr>
          <w:rFonts w:asciiTheme="minorHAnsi" w:hAnsiTheme="minorHAnsi"/>
          <w:color w:val="auto"/>
          <w:sz w:val="22"/>
          <w:szCs w:val="22"/>
        </w:rPr>
      </w:pPr>
      <w:r w:rsidRPr="006156FF">
        <w:rPr>
          <w:rFonts w:asciiTheme="minorHAnsi" w:hAnsiTheme="minorHAnsi"/>
          <w:color w:val="auto"/>
          <w:sz w:val="22"/>
          <w:szCs w:val="22"/>
        </w:rPr>
        <w:t>The House of Representatives Standing Committee on Social Policy and Legal Affairs inquiry into homelessness in Australia</w:t>
      </w:r>
      <w:r w:rsidRPr="006156FF">
        <w:rPr>
          <w:rFonts w:asciiTheme="minorHAnsi" w:hAnsiTheme="minorHAnsi"/>
          <w:color w:val="auto"/>
          <w:sz w:val="22"/>
          <w:szCs w:val="22"/>
          <w:vertAlign w:val="superscript"/>
        </w:rPr>
        <w:endnoteReference w:id="98"/>
      </w:r>
      <w:r w:rsidRPr="006156FF">
        <w:rPr>
          <w:rFonts w:asciiTheme="minorHAnsi" w:hAnsiTheme="minorHAnsi"/>
          <w:color w:val="auto"/>
          <w:sz w:val="22"/>
          <w:szCs w:val="22"/>
        </w:rPr>
        <w:t xml:space="preserve"> recommends the Australian Government work with state and territory governments to strengthen training across the health and community sectors on prevention of homelessness, particularly for disadvantaged and vulnerable children and families, including training on the impact of homelessness and family, domestic and sexual violence on the social and emotional wellbeing of children.</w:t>
      </w:r>
    </w:p>
    <w:p w14:paraId="66D502F8" w14:textId="77777777" w:rsidR="004A715D" w:rsidRDefault="004A715D" w:rsidP="004A715D">
      <w:pPr>
        <w:pStyle w:val="BodyText"/>
      </w:pPr>
    </w:p>
    <w:p w14:paraId="6A6BBE9E" w14:textId="77777777" w:rsidR="004A715D" w:rsidRPr="004A715D" w:rsidRDefault="004A715D" w:rsidP="004A715D">
      <w:pPr>
        <w:pStyle w:val="BodyText"/>
      </w:pPr>
    </w:p>
    <w:p w14:paraId="3A224A8C" w14:textId="3D6CB0A8" w:rsidR="0011290E" w:rsidRDefault="00983251" w:rsidP="00442753">
      <w:pPr>
        <w:pStyle w:val="Heading2"/>
      </w:pPr>
      <w:r w:rsidRPr="00442753">
        <w:lastRenderedPageBreak/>
        <w:t xml:space="preserve">The workforce is strong and </w:t>
      </w:r>
      <w:bookmarkStart w:id="12" w:name="_Toc171943315"/>
      <w:bookmarkStart w:id="13" w:name="_Toc171943318"/>
      <w:r w:rsidR="00D72C4E">
        <w:t>capable</w:t>
      </w:r>
    </w:p>
    <w:p w14:paraId="45B6921A" w14:textId="79150311" w:rsidR="00B2106C" w:rsidRDefault="00B2106C" w:rsidP="00B13429">
      <w:pPr>
        <w:pStyle w:val="ListParagraph"/>
        <w:numPr>
          <w:ilvl w:val="0"/>
          <w:numId w:val="33"/>
        </w:numPr>
        <w:suppressAutoHyphens w:val="0"/>
        <w:spacing w:after="120" w:line="259" w:lineRule="auto"/>
        <w:ind w:left="357" w:hanging="357"/>
        <w:contextualSpacing w:val="0"/>
        <w:rPr>
          <w:rFonts w:asciiTheme="minorHAnsi" w:hAnsiTheme="minorHAnsi"/>
          <w:color w:val="auto"/>
          <w:sz w:val="22"/>
          <w:szCs w:val="22"/>
        </w:rPr>
      </w:pPr>
      <w:r>
        <w:rPr>
          <w:rFonts w:asciiTheme="minorHAnsi" w:hAnsiTheme="minorHAnsi"/>
          <w:color w:val="auto"/>
          <w:sz w:val="22"/>
          <w:szCs w:val="22"/>
        </w:rPr>
        <w:t xml:space="preserve">There are </w:t>
      </w:r>
      <w:r w:rsidR="007E2FD0">
        <w:rPr>
          <w:rFonts w:asciiTheme="minorHAnsi" w:hAnsiTheme="minorHAnsi"/>
          <w:color w:val="auto"/>
          <w:sz w:val="22"/>
          <w:szCs w:val="22"/>
        </w:rPr>
        <w:t xml:space="preserve">significant </w:t>
      </w:r>
      <w:r>
        <w:rPr>
          <w:rFonts w:asciiTheme="minorHAnsi" w:hAnsiTheme="minorHAnsi"/>
          <w:color w:val="auto"/>
          <w:sz w:val="22"/>
          <w:szCs w:val="22"/>
        </w:rPr>
        <w:t xml:space="preserve">workforce challenges in the homelessness service system, including in attracting and retaining skilled workers. This is related to the complexity of the work, the high physical and psychological demands on workers, </w:t>
      </w:r>
      <w:r w:rsidR="007E2FD0">
        <w:rPr>
          <w:rFonts w:asciiTheme="minorHAnsi" w:hAnsiTheme="minorHAnsi"/>
          <w:color w:val="auto"/>
          <w:sz w:val="22"/>
          <w:szCs w:val="22"/>
        </w:rPr>
        <w:t xml:space="preserve">insufficient </w:t>
      </w:r>
      <w:r>
        <w:rPr>
          <w:rFonts w:asciiTheme="minorHAnsi" w:hAnsiTheme="minorHAnsi"/>
          <w:color w:val="auto"/>
          <w:sz w:val="22"/>
          <w:szCs w:val="22"/>
        </w:rPr>
        <w:t>funding and competition with other human serv</w:t>
      </w:r>
      <w:r w:rsidR="00BD4E39">
        <w:rPr>
          <w:rFonts w:asciiTheme="minorHAnsi" w:hAnsiTheme="minorHAnsi"/>
          <w:color w:val="auto"/>
          <w:sz w:val="22"/>
          <w:szCs w:val="22"/>
        </w:rPr>
        <w:t>i</w:t>
      </w:r>
      <w:r>
        <w:rPr>
          <w:rFonts w:asciiTheme="minorHAnsi" w:hAnsiTheme="minorHAnsi"/>
          <w:color w:val="auto"/>
          <w:sz w:val="22"/>
          <w:szCs w:val="22"/>
        </w:rPr>
        <w:t>ces workforces</w:t>
      </w:r>
      <w:r w:rsidR="003041FD">
        <w:rPr>
          <w:rStyle w:val="EndnoteReference"/>
          <w:rFonts w:asciiTheme="minorHAnsi" w:hAnsiTheme="minorHAnsi"/>
          <w:color w:val="auto"/>
          <w:sz w:val="22"/>
          <w:szCs w:val="22"/>
        </w:rPr>
        <w:endnoteReference w:id="99"/>
      </w:r>
      <w:r>
        <w:rPr>
          <w:rFonts w:asciiTheme="minorHAnsi" w:hAnsiTheme="minorHAnsi"/>
          <w:color w:val="auto"/>
          <w:sz w:val="22"/>
          <w:szCs w:val="22"/>
        </w:rPr>
        <w:t xml:space="preserve">. </w:t>
      </w:r>
    </w:p>
    <w:p w14:paraId="45B8F378" w14:textId="75006A97" w:rsidR="00C73EF6" w:rsidRPr="00B22D96" w:rsidRDefault="00C73EF6" w:rsidP="00B13429">
      <w:pPr>
        <w:pStyle w:val="ListParagraph"/>
        <w:numPr>
          <w:ilvl w:val="0"/>
          <w:numId w:val="33"/>
        </w:numPr>
        <w:suppressAutoHyphens w:val="0"/>
        <w:spacing w:after="120" w:line="259" w:lineRule="auto"/>
        <w:ind w:left="357" w:hanging="357"/>
        <w:contextualSpacing w:val="0"/>
        <w:rPr>
          <w:rFonts w:asciiTheme="minorHAnsi" w:hAnsiTheme="minorHAnsi"/>
          <w:color w:val="auto"/>
          <w:sz w:val="22"/>
          <w:szCs w:val="22"/>
        </w:rPr>
      </w:pPr>
      <w:r w:rsidRPr="00442753">
        <w:rPr>
          <w:rFonts w:asciiTheme="minorHAnsi" w:hAnsiTheme="minorHAnsi"/>
          <w:color w:val="auto"/>
          <w:sz w:val="22"/>
          <w:szCs w:val="22"/>
        </w:rPr>
        <w:t>The sustainability and development of the sector workforce on a meaningful scale also requires the supply of social and affordable housing, improved job security, access to more competitive remuneration and improved investment into workforce training and development</w:t>
      </w:r>
      <w:r w:rsidR="003041FD">
        <w:rPr>
          <w:rStyle w:val="EndnoteReference"/>
          <w:rFonts w:asciiTheme="minorHAnsi" w:hAnsiTheme="minorHAnsi"/>
          <w:color w:val="auto"/>
          <w:sz w:val="22"/>
          <w:szCs w:val="22"/>
        </w:rPr>
        <w:endnoteReference w:id="100"/>
      </w:r>
      <w:r w:rsidRPr="00442753">
        <w:rPr>
          <w:rFonts w:asciiTheme="minorHAnsi" w:hAnsiTheme="minorHAnsi"/>
          <w:color w:val="auto"/>
          <w:sz w:val="22"/>
          <w:szCs w:val="22"/>
        </w:rPr>
        <w:t>.</w:t>
      </w:r>
    </w:p>
    <w:p w14:paraId="2E8D3289" w14:textId="57A4EF36" w:rsidR="00264ED5" w:rsidRPr="00442753" w:rsidRDefault="007E0AFD" w:rsidP="00B13429">
      <w:pPr>
        <w:pStyle w:val="ListParagraph"/>
        <w:numPr>
          <w:ilvl w:val="0"/>
          <w:numId w:val="33"/>
        </w:numPr>
        <w:suppressAutoHyphens w:val="0"/>
        <w:spacing w:after="120" w:line="259" w:lineRule="auto"/>
        <w:ind w:left="357" w:hanging="357"/>
        <w:contextualSpacing w:val="0"/>
        <w:rPr>
          <w:rFonts w:asciiTheme="minorHAnsi" w:hAnsiTheme="minorHAnsi"/>
          <w:color w:val="auto"/>
          <w:sz w:val="22"/>
          <w:szCs w:val="22"/>
        </w:rPr>
      </w:pPr>
      <w:r w:rsidRPr="00442753">
        <w:rPr>
          <w:rFonts w:asciiTheme="minorHAnsi" w:hAnsiTheme="minorHAnsi"/>
          <w:color w:val="auto"/>
          <w:sz w:val="22"/>
          <w:szCs w:val="22"/>
        </w:rPr>
        <w:t>The homelessness service system is highly reliant on the quality and safety of its service providers and their delivery of appropriate supports, especially for priority cohorts. In particular, the high rates of homelessness within Aboriginal and Torres Strait Islander communities indicates a critical need for culturally safe and appropriate service delivery, including expansion of Aboriginal and Torres Strait Islander-led programs</w:t>
      </w:r>
      <w:r w:rsidR="003041FD">
        <w:rPr>
          <w:rStyle w:val="EndnoteReference"/>
          <w:rFonts w:asciiTheme="minorHAnsi" w:hAnsiTheme="minorHAnsi"/>
          <w:color w:val="auto"/>
          <w:sz w:val="22"/>
          <w:szCs w:val="22"/>
        </w:rPr>
        <w:endnoteReference w:id="101"/>
      </w:r>
      <w:r w:rsidRPr="00442753">
        <w:rPr>
          <w:rFonts w:asciiTheme="minorHAnsi" w:hAnsiTheme="minorHAnsi"/>
          <w:color w:val="auto"/>
          <w:sz w:val="22"/>
          <w:szCs w:val="22"/>
        </w:rPr>
        <w:t>.</w:t>
      </w:r>
    </w:p>
    <w:p w14:paraId="2EF48CB5" w14:textId="46315553" w:rsidR="007E0AFD" w:rsidRPr="00442753" w:rsidRDefault="008004CB" w:rsidP="00442753">
      <w:pPr>
        <w:pStyle w:val="Heading2"/>
      </w:pPr>
      <w:r w:rsidRPr="00442753">
        <w:t>Systems, tools and measurement are consistent</w:t>
      </w:r>
      <w:r w:rsidR="00D72C4E">
        <w:t>, accessible and fit for purpose</w:t>
      </w:r>
    </w:p>
    <w:p w14:paraId="21487D61" w14:textId="2C4D5CF9" w:rsidR="0011290E" w:rsidRPr="00442753" w:rsidRDefault="0011290E" w:rsidP="00B13429">
      <w:pPr>
        <w:pStyle w:val="ListParagraph"/>
        <w:numPr>
          <w:ilvl w:val="0"/>
          <w:numId w:val="33"/>
        </w:numPr>
        <w:suppressAutoHyphens w:val="0"/>
        <w:spacing w:after="120" w:line="259" w:lineRule="auto"/>
        <w:ind w:left="357" w:hanging="357"/>
        <w:contextualSpacing w:val="0"/>
        <w:rPr>
          <w:rFonts w:asciiTheme="minorHAnsi" w:hAnsiTheme="minorHAnsi"/>
          <w:color w:val="auto"/>
          <w:sz w:val="22"/>
          <w:szCs w:val="22"/>
        </w:rPr>
      </w:pPr>
      <w:r w:rsidRPr="00442753">
        <w:rPr>
          <w:rFonts w:asciiTheme="minorHAnsi" w:hAnsiTheme="minorHAnsi"/>
          <w:color w:val="auto"/>
          <w:sz w:val="22"/>
          <w:szCs w:val="22"/>
        </w:rPr>
        <w:t>Improved data collection and measurements is a critical input to a safe and sustainable system. Evidence suggests that improved data gathering and sharing can aid better predictive decision-making</w:t>
      </w:r>
      <w:r w:rsidRPr="00442753">
        <w:rPr>
          <w:rFonts w:asciiTheme="minorHAnsi" w:hAnsiTheme="minorHAnsi"/>
          <w:color w:val="auto"/>
          <w:sz w:val="22"/>
          <w:szCs w:val="22"/>
          <w:vertAlign w:val="superscript"/>
        </w:rPr>
        <w:endnoteReference w:id="102"/>
      </w:r>
      <w:r w:rsidRPr="00442753">
        <w:rPr>
          <w:rFonts w:asciiTheme="minorHAnsi" w:hAnsiTheme="minorHAnsi"/>
          <w:color w:val="auto"/>
          <w:sz w:val="22"/>
          <w:szCs w:val="22"/>
          <w:vertAlign w:val="superscript"/>
        </w:rPr>
        <w:t> </w:t>
      </w:r>
      <w:r w:rsidRPr="00442753">
        <w:rPr>
          <w:rFonts w:asciiTheme="minorHAnsi" w:hAnsiTheme="minorHAnsi"/>
          <w:color w:val="auto"/>
          <w:sz w:val="22"/>
          <w:szCs w:val="22"/>
        </w:rPr>
        <w:t>.</w:t>
      </w:r>
    </w:p>
    <w:p w14:paraId="6B3BCBB7" w14:textId="57E4198B" w:rsidR="0011290E" w:rsidRPr="00442753" w:rsidRDefault="0011290E" w:rsidP="00B13429">
      <w:pPr>
        <w:pStyle w:val="ListParagraph"/>
        <w:numPr>
          <w:ilvl w:val="0"/>
          <w:numId w:val="33"/>
        </w:numPr>
        <w:suppressAutoHyphens w:val="0"/>
        <w:spacing w:after="120" w:line="259" w:lineRule="auto"/>
        <w:ind w:left="357" w:hanging="357"/>
        <w:contextualSpacing w:val="0"/>
        <w:rPr>
          <w:rFonts w:asciiTheme="minorHAnsi" w:hAnsiTheme="minorHAnsi"/>
          <w:color w:val="auto"/>
          <w:sz w:val="22"/>
          <w:szCs w:val="22"/>
        </w:rPr>
      </w:pPr>
      <w:r w:rsidRPr="00442753">
        <w:rPr>
          <w:rFonts w:asciiTheme="minorHAnsi" w:hAnsiTheme="minorHAnsi"/>
          <w:color w:val="auto"/>
          <w:sz w:val="22"/>
          <w:szCs w:val="22"/>
        </w:rPr>
        <w:t>The Audit Office of NSW recommended in its review of the previous Homelessness Strategy that the NSW Government establish a means to regularly collect client outcomes data and feedback; and use this to drive improvements to responses to homelessness</w:t>
      </w:r>
      <w:r w:rsidR="003041FD">
        <w:rPr>
          <w:rStyle w:val="EndnoteReference"/>
          <w:rFonts w:asciiTheme="minorHAnsi" w:hAnsiTheme="minorHAnsi"/>
          <w:color w:val="auto"/>
          <w:sz w:val="22"/>
          <w:szCs w:val="22"/>
        </w:rPr>
        <w:endnoteReference w:id="103"/>
      </w:r>
      <w:r w:rsidRPr="00442753">
        <w:rPr>
          <w:rFonts w:asciiTheme="minorHAnsi" w:hAnsiTheme="minorHAnsi"/>
          <w:color w:val="auto"/>
          <w:sz w:val="22"/>
          <w:szCs w:val="22"/>
        </w:rPr>
        <w:t>.</w:t>
      </w:r>
    </w:p>
    <w:p w14:paraId="70031A99" w14:textId="6B4CE955" w:rsidR="0011290E" w:rsidRPr="00442753" w:rsidRDefault="0011290E" w:rsidP="00B13429">
      <w:pPr>
        <w:pStyle w:val="ListParagraph"/>
        <w:numPr>
          <w:ilvl w:val="0"/>
          <w:numId w:val="33"/>
        </w:numPr>
        <w:suppressAutoHyphens w:val="0"/>
        <w:spacing w:after="120" w:line="259" w:lineRule="auto"/>
        <w:ind w:left="357" w:hanging="357"/>
        <w:contextualSpacing w:val="0"/>
        <w:rPr>
          <w:color w:val="auto"/>
          <w:sz w:val="22"/>
          <w:szCs w:val="22"/>
        </w:rPr>
      </w:pPr>
      <w:r w:rsidRPr="00442753">
        <w:rPr>
          <w:rFonts w:asciiTheme="minorHAnsi" w:hAnsiTheme="minorHAnsi"/>
          <w:color w:val="auto"/>
          <w:sz w:val="22"/>
          <w:szCs w:val="22"/>
        </w:rPr>
        <w:t>The House of Representatives Standing Committee on Social Policy and Legal Affairs inquiry into homelessness in Australia recommend</w:t>
      </w:r>
      <w:r w:rsidR="009B7352">
        <w:rPr>
          <w:rFonts w:asciiTheme="minorHAnsi" w:hAnsiTheme="minorHAnsi"/>
          <w:color w:val="auto"/>
          <w:sz w:val="22"/>
          <w:szCs w:val="22"/>
        </w:rPr>
        <w:t>ed</w:t>
      </w:r>
      <w:r w:rsidRPr="00442753">
        <w:rPr>
          <w:rFonts w:asciiTheme="minorHAnsi" w:hAnsiTheme="minorHAnsi"/>
          <w:color w:val="auto"/>
          <w:sz w:val="22"/>
          <w:szCs w:val="22"/>
        </w:rPr>
        <w:t xml:space="preserve"> the Australian Government work with state and territory governments to improve data collection specific to vulnerable groups, including funding research to better understand prevalence of homelessness and demand for services amongst older women, people in regional and remote areas, veterans and people in </w:t>
      </w:r>
      <w:r w:rsidR="009B7352">
        <w:rPr>
          <w:rFonts w:asciiTheme="minorHAnsi" w:hAnsiTheme="minorHAnsi"/>
          <w:color w:val="auto"/>
          <w:sz w:val="22"/>
          <w:szCs w:val="22"/>
        </w:rPr>
        <w:t xml:space="preserve">the </w:t>
      </w:r>
      <w:r w:rsidRPr="00442753">
        <w:rPr>
          <w:rFonts w:asciiTheme="minorHAnsi" w:hAnsiTheme="minorHAnsi"/>
          <w:color w:val="auto"/>
          <w:sz w:val="22"/>
          <w:szCs w:val="22"/>
        </w:rPr>
        <w:t>LGBTIQ+ community</w:t>
      </w:r>
      <w:r w:rsidR="00BF7968">
        <w:rPr>
          <w:rFonts w:asciiTheme="minorHAnsi" w:hAnsiTheme="minorHAnsi"/>
          <w:color w:val="auto"/>
          <w:sz w:val="22"/>
          <w:szCs w:val="22"/>
        </w:rPr>
        <w:t>.</w:t>
      </w:r>
      <w:r w:rsidR="00BF7968">
        <w:rPr>
          <w:rStyle w:val="EndnoteReference"/>
          <w:rFonts w:asciiTheme="minorHAnsi" w:hAnsiTheme="minorHAnsi"/>
          <w:color w:val="auto"/>
          <w:sz w:val="22"/>
          <w:szCs w:val="22"/>
        </w:rPr>
        <w:endnoteReference w:id="104"/>
      </w:r>
      <w:r w:rsidRPr="00442753">
        <w:rPr>
          <w:rFonts w:asciiTheme="minorHAnsi" w:hAnsiTheme="minorHAnsi"/>
          <w:color w:val="auto"/>
          <w:sz w:val="22"/>
          <w:szCs w:val="22"/>
          <w:vertAlign w:val="superscript"/>
        </w:rPr>
        <w:t>.</w:t>
      </w:r>
    </w:p>
    <w:p w14:paraId="7BAF1EF5" w14:textId="0264C687" w:rsidR="009D300B" w:rsidRPr="006156FF" w:rsidRDefault="0091127D" w:rsidP="00B13429">
      <w:pPr>
        <w:pStyle w:val="ListParagraph"/>
        <w:numPr>
          <w:ilvl w:val="0"/>
          <w:numId w:val="33"/>
        </w:numPr>
        <w:suppressAutoHyphens w:val="0"/>
        <w:spacing w:after="120" w:line="259" w:lineRule="auto"/>
        <w:ind w:left="357" w:hanging="357"/>
        <w:contextualSpacing w:val="0"/>
        <w:rPr>
          <w:rFonts w:eastAsiaTheme="minorEastAsia" w:cstheme="minorBidi"/>
          <w:color w:val="630019" w:themeColor="accent1"/>
          <w:sz w:val="36"/>
          <w:szCs w:val="22"/>
        </w:rPr>
      </w:pPr>
      <w:r w:rsidRPr="00442753">
        <w:rPr>
          <w:rFonts w:asciiTheme="minorHAnsi" w:hAnsiTheme="minorHAnsi"/>
          <w:color w:val="auto"/>
          <w:sz w:val="22"/>
          <w:szCs w:val="22"/>
        </w:rPr>
        <w:t xml:space="preserve">There is a need for improved evaluation and research about what works to end homelessness in Australia. Embedding evaluation and continuous improvement mechanisms within the design of the Strategy </w:t>
      </w:r>
      <w:r w:rsidR="00344850">
        <w:rPr>
          <w:rFonts w:asciiTheme="minorHAnsi" w:hAnsiTheme="minorHAnsi"/>
          <w:color w:val="auto"/>
          <w:sz w:val="22"/>
          <w:szCs w:val="22"/>
        </w:rPr>
        <w:t>will be</w:t>
      </w:r>
      <w:r w:rsidRPr="00442753">
        <w:rPr>
          <w:rFonts w:asciiTheme="minorHAnsi" w:hAnsiTheme="minorHAnsi"/>
          <w:color w:val="auto"/>
          <w:sz w:val="22"/>
          <w:szCs w:val="22"/>
        </w:rPr>
        <w:t xml:space="preserve"> critical for the success of system reforms. </w:t>
      </w:r>
      <w:r w:rsidR="009D300B" w:rsidRPr="006156FF">
        <w:br w:type="page"/>
      </w:r>
    </w:p>
    <w:p w14:paraId="4C695AFF" w14:textId="77777777" w:rsidR="002D4D94" w:rsidRPr="006156FF" w:rsidRDefault="002D4D94" w:rsidP="006501E0">
      <w:pPr>
        <w:pStyle w:val="Heading1"/>
        <w:numPr>
          <w:ilvl w:val="0"/>
          <w:numId w:val="0"/>
        </w:numPr>
      </w:pPr>
      <w:bookmarkStart w:id="14" w:name="_Toc171943326"/>
      <w:bookmarkEnd w:id="12"/>
      <w:bookmarkEnd w:id="13"/>
      <w:r w:rsidRPr="006156FF">
        <w:lastRenderedPageBreak/>
        <w:t>Summary of evidence on actions to address homelessness amongst children and young people</w:t>
      </w:r>
      <w:bookmarkEnd w:id="14"/>
    </w:p>
    <w:p w14:paraId="00D4C0C2" w14:textId="77777777" w:rsidR="002D4D94" w:rsidRPr="006156FF" w:rsidRDefault="002D4D94" w:rsidP="002D4D94">
      <w:pPr>
        <w:pStyle w:val="BodyText"/>
        <w:rPr>
          <w:rStyle w:val="normaltextrun"/>
          <w:rFonts w:cs="Segoe UI"/>
        </w:rPr>
      </w:pPr>
      <w:r w:rsidRPr="006156FF">
        <w:rPr>
          <w:rStyle w:val="normaltextrun"/>
          <w:rFonts w:cs="Segoe UI"/>
        </w:rPr>
        <w:t>There is a wide body of evidence that details possible interventions to address child and youth homelessness, evaluations of current programs, report on stakeholder’s views, reports on system reform, and data on the nature and extent of need and service usage. This document identifies sources reviewed to support the development of an action plan for children and young people.</w:t>
      </w:r>
    </w:p>
    <w:p w14:paraId="7CF376F7" w14:textId="77777777" w:rsidR="002D4D94" w:rsidRPr="006156FF" w:rsidRDefault="002D4D94" w:rsidP="002D4D94">
      <w:pPr>
        <w:pStyle w:val="Heading2"/>
      </w:pPr>
      <w:bookmarkStart w:id="15" w:name="_Toc171943327"/>
      <w:r w:rsidRPr="006156FF">
        <w:t>Summary table</w:t>
      </w:r>
      <w:bookmarkEnd w:id="15"/>
    </w:p>
    <w:tbl>
      <w:tblPr>
        <w:tblStyle w:val="TableGrid"/>
        <w:tblW w:w="9918" w:type="dxa"/>
        <w:tblLayout w:type="fixed"/>
        <w:tblLook w:val="04A0" w:firstRow="1" w:lastRow="0" w:firstColumn="1" w:lastColumn="0" w:noHBand="0" w:noVBand="1"/>
      </w:tblPr>
      <w:tblGrid>
        <w:gridCol w:w="2547"/>
        <w:gridCol w:w="7371"/>
      </w:tblGrid>
      <w:tr w:rsidR="002D4D94" w:rsidRPr="008F480E" w14:paraId="4DCD7CE5" w14:textId="77777777" w:rsidTr="00425036">
        <w:trPr>
          <w:tblHeader/>
        </w:trPr>
        <w:tc>
          <w:tcPr>
            <w:tcW w:w="2547" w:type="dxa"/>
            <w:shd w:val="clear" w:color="auto" w:fill="630019" w:themeFill="accent1"/>
          </w:tcPr>
          <w:p w14:paraId="2327CD2E" w14:textId="77777777" w:rsidR="002D4D94" w:rsidRPr="008F480E" w:rsidRDefault="002D4D94" w:rsidP="003041FD">
            <w:pPr>
              <w:spacing w:before="120" w:after="120"/>
              <w:rPr>
                <w:rFonts w:asciiTheme="minorHAnsi" w:hAnsiTheme="minorHAnsi"/>
                <w:b/>
                <w:bCs/>
                <w:color w:val="FFFFFF" w:themeColor="background1"/>
              </w:rPr>
            </w:pPr>
            <w:r w:rsidRPr="008F480E">
              <w:rPr>
                <w:rFonts w:asciiTheme="minorHAnsi" w:hAnsiTheme="minorHAnsi"/>
                <w:b/>
                <w:bCs/>
                <w:color w:val="FFFFFF" w:themeColor="background1"/>
              </w:rPr>
              <w:t>Source</w:t>
            </w:r>
          </w:p>
        </w:tc>
        <w:tc>
          <w:tcPr>
            <w:tcW w:w="7371" w:type="dxa"/>
            <w:shd w:val="clear" w:color="auto" w:fill="630019" w:themeFill="accent1"/>
          </w:tcPr>
          <w:p w14:paraId="48F72EDC" w14:textId="77777777" w:rsidR="002D4D94" w:rsidRPr="008F480E" w:rsidRDefault="002D4D94" w:rsidP="003041FD">
            <w:pPr>
              <w:spacing w:before="120" w:after="120"/>
              <w:rPr>
                <w:rFonts w:asciiTheme="minorHAnsi" w:hAnsiTheme="minorHAnsi"/>
                <w:b/>
                <w:bCs/>
                <w:color w:val="FFFFFF" w:themeColor="background1"/>
              </w:rPr>
            </w:pPr>
            <w:r w:rsidRPr="008F480E">
              <w:rPr>
                <w:rFonts w:asciiTheme="minorHAnsi" w:hAnsiTheme="minorHAnsi"/>
                <w:b/>
                <w:bCs/>
                <w:color w:val="FFFFFF" w:themeColor="background1"/>
              </w:rPr>
              <w:t>Description</w:t>
            </w:r>
          </w:p>
        </w:tc>
      </w:tr>
      <w:tr w:rsidR="002D4D94" w:rsidRPr="008F480E" w14:paraId="18C0CD03" w14:textId="77777777" w:rsidTr="00425036">
        <w:tc>
          <w:tcPr>
            <w:tcW w:w="2547" w:type="dxa"/>
          </w:tcPr>
          <w:p w14:paraId="5F3D4843" w14:textId="77777777" w:rsidR="002D4D94" w:rsidRPr="008F480E" w:rsidRDefault="00000000" w:rsidP="003041FD">
            <w:pPr>
              <w:spacing w:before="120" w:after="120"/>
              <w:rPr>
                <w:rFonts w:asciiTheme="minorHAnsi" w:hAnsiTheme="minorHAnsi"/>
                <w:color w:val="auto"/>
              </w:rPr>
            </w:pPr>
            <w:hyperlink r:id="rId15" w:history="1">
              <w:r w:rsidR="002D4D94" w:rsidRPr="008F480E">
                <w:rPr>
                  <w:rStyle w:val="Hyperlink"/>
                  <w:rFonts w:asciiTheme="minorHAnsi" w:hAnsiTheme="minorHAnsi"/>
                  <w:color w:val="auto"/>
                </w:rPr>
                <w:t>A Place to Go</w:t>
              </w:r>
            </w:hyperlink>
          </w:p>
        </w:tc>
        <w:tc>
          <w:tcPr>
            <w:tcW w:w="7371" w:type="dxa"/>
          </w:tcPr>
          <w:p w14:paraId="4D0A21D5" w14:textId="77777777" w:rsidR="002D4D94" w:rsidRPr="008F480E" w:rsidRDefault="002D4D94" w:rsidP="003041FD">
            <w:pPr>
              <w:spacing w:before="120" w:after="120"/>
              <w:rPr>
                <w:rFonts w:asciiTheme="minorHAnsi" w:hAnsiTheme="minorHAnsi"/>
                <w:color w:val="auto"/>
                <w:lang w:val="en-GB"/>
              </w:rPr>
            </w:pPr>
            <w:r w:rsidRPr="008F480E">
              <w:rPr>
                <w:rFonts w:asciiTheme="minorHAnsi" w:hAnsiTheme="minorHAnsi"/>
                <w:i/>
                <w:iCs/>
                <w:color w:val="auto"/>
                <w:lang w:val="en-GB"/>
              </w:rPr>
              <w:t>A Place to Go</w:t>
            </w:r>
            <w:r w:rsidRPr="008F480E">
              <w:rPr>
                <w:rFonts w:asciiTheme="minorHAnsi" w:hAnsiTheme="minorHAnsi"/>
                <w:color w:val="auto"/>
                <w:lang w:val="en-GB"/>
              </w:rPr>
              <w:t> in Penrith aims to improve support and deliver a better response for 10–17-year-olds in contact with the criminal justice system, to decrease the likelihood of re-offending.  </w:t>
            </w:r>
            <w:r w:rsidRPr="008F480E">
              <w:rPr>
                <w:rFonts w:asciiTheme="minorHAnsi" w:hAnsiTheme="minorHAnsi"/>
                <w:i/>
                <w:iCs/>
                <w:color w:val="auto"/>
                <w:lang w:val="en-GB"/>
              </w:rPr>
              <w:t>A Place to Go</w:t>
            </w:r>
            <w:r w:rsidRPr="008F480E">
              <w:rPr>
                <w:rFonts w:asciiTheme="minorHAnsi" w:hAnsiTheme="minorHAnsi"/>
                <w:color w:val="auto"/>
                <w:lang w:val="en-GB"/>
              </w:rPr>
              <w:t> is a collaborative initiative delivered by government and non-government organisations. The initiative uses a young person’s contact with Police and the court or both as an opportunity to intervene early by linking them with appropriate community supports and services, court liaison staff, cross-agency panels and dedicated short-term transitional accommodation (A Place to Go House).</w:t>
            </w:r>
          </w:p>
        </w:tc>
      </w:tr>
      <w:tr w:rsidR="002D4D94" w:rsidRPr="008F480E" w14:paraId="41508B8D" w14:textId="77777777" w:rsidTr="00425036">
        <w:tc>
          <w:tcPr>
            <w:tcW w:w="2547" w:type="dxa"/>
          </w:tcPr>
          <w:p w14:paraId="37859D65" w14:textId="77777777" w:rsidR="002D4D94" w:rsidRPr="008F480E" w:rsidRDefault="00000000" w:rsidP="003041FD">
            <w:pPr>
              <w:spacing w:before="120" w:after="120"/>
              <w:rPr>
                <w:rFonts w:asciiTheme="minorHAnsi" w:hAnsiTheme="minorHAnsi"/>
                <w:i/>
                <w:iCs/>
                <w:color w:val="auto"/>
                <w:lang w:val="en-GB"/>
              </w:rPr>
            </w:pPr>
            <w:hyperlink r:id="rId16" w:history="1">
              <w:r w:rsidR="002D4D94" w:rsidRPr="008F480E">
                <w:rPr>
                  <w:rStyle w:val="Hyperlink"/>
                  <w:rFonts w:asciiTheme="minorHAnsi" w:hAnsiTheme="minorHAnsi"/>
                  <w:i/>
                  <w:iCs/>
                  <w:color w:val="auto"/>
                  <w:lang w:val="en-GB"/>
                </w:rPr>
                <w:t>A plan to end homelessness in Victoria 2022</w:t>
              </w:r>
            </w:hyperlink>
            <w:r w:rsidR="002D4D94" w:rsidRPr="008F480E">
              <w:rPr>
                <w:rFonts w:asciiTheme="minorHAnsi" w:hAnsiTheme="minorHAnsi"/>
                <w:i/>
                <w:iCs/>
                <w:color w:val="auto"/>
                <w:lang w:val="en-GB"/>
              </w:rPr>
              <w:t xml:space="preserve"> </w:t>
            </w:r>
          </w:p>
          <w:p w14:paraId="1BF3F31A"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lang w:val="en-GB"/>
              </w:rPr>
              <w:t>Victoria: Council to Homeless Persons</w:t>
            </w:r>
          </w:p>
        </w:tc>
        <w:tc>
          <w:tcPr>
            <w:tcW w:w="7371" w:type="dxa"/>
          </w:tcPr>
          <w:p w14:paraId="78C1E3E4" w14:textId="77777777" w:rsidR="002D4D94" w:rsidRPr="008F480E" w:rsidRDefault="002D4D94" w:rsidP="003041FD">
            <w:pPr>
              <w:spacing w:before="120" w:after="120"/>
              <w:rPr>
                <w:rFonts w:asciiTheme="minorHAnsi" w:hAnsiTheme="minorHAnsi"/>
                <w:color w:val="auto"/>
                <w:kern w:val="24"/>
                <w:lang w:val="en-GB"/>
              </w:rPr>
            </w:pPr>
            <w:r w:rsidRPr="008F480E">
              <w:rPr>
                <w:rFonts w:asciiTheme="minorHAnsi" w:hAnsiTheme="minorHAnsi"/>
                <w:color w:val="auto"/>
              </w:rPr>
              <w:t xml:space="preserve">Family intervention/ mediation/ reconciliation: Support for young people and families before young people become homeless. </w:t>
            </w:r>
          </w:p>
        </w:tc>
      </w:tr>
      <w:tr w:rsidR="002D4D94" w:rsidRPr="008F480E" w14:paraId="4C0A76C7" w14:textId="77777777" w:rsidTr="00425036">
        <w:tc>
          <w:tcPr>
            <w:tcW w:w="2547" w:type="dxa"/>
          </w:tcPr>
          <w:p w14:paraId="41B81683" w14:textId="77777777" w:rsidR="002D4D94" w:rsidRPr="008F480E" w:rsidRDefault="002D4D94" w:rsidP="003041FD">
            <w:pPr>
              <w:spacing w:before="120" w:after="120"/>
              <w:rPr>
                <w:rStyle w:val="normaltextrun"/>
                <w:rFonts w:asciiTheme="minorHAnsi" w:hAnsiTheme="minorHAnsi"/>
                <w:i/>
                <w:iCs/>
                <w:color w:val="auto"/>
                <w:shd w:val="clear" w:color="auto" w:fill="FFFFFF"/>
              </w:rPr>
            </w:pPr>
            <w:r w:rsidRPr="008F480E">
              <w:rPr>
                <w:rStyle w:val="normaltextrun"/>
                <w:rFonts w:asciiTheme="minorHAnsi" w:hAnsiTheme="minorHAnsi"/>
                <w:i/>
                <w:iCs/>
                <w:color w:val="auto"/>
                <w:shd w:val="clear" w:color="auto" w:fill="FFFFFF"/>
              </w:rPr>
              <w:t>ACYP Consultation Report 2017 – What children and young people experiencing homelessness say</w:t>
            </w:r>
          </w:p>
          <w:p w14:paraId="4A068573" w14:textId="6C2F8C2F" w:rsidR="0086415E" w:rsidRPr="008F480E" w:rsidRDefault="0086415E" w:rsidP="003041FD">
            <w:pPr>
              <w:pStyle w:val="BodyText"/>
              <w:rPr>
                <w:sz w:val="20"/>
                <w:szCs w:val="20"/>
              </w:rPr>
            </w:pPr>
            <w:r w:rsidRPr="008F480E">
              <w:rPr>
                <w:sz w:val="20"/>
                <w:szCs w:val="20"/>
              </w:rPr>
              <w:t>A</w:t>
            </w:r>
            <w:r w:rsidR="00344850">
              <w:rPr>
                <w:sz w:val="20"/>
                <w:szCs w:val="20"/>
              </w:rPr>
              <w:t xml:space="preserve">dvocate for </w:t>
            </w:r>
            <w:r w:rsidRPr="008F480E">
              <w:rPr>
                <w:sz w:val="20"/>
                <w:szCs w:val="20"/>
              </w:rPr>
              <w:t>C</w:t>
            </w:r>
            <w:r w:rsidR="00344850">
              <w:rPr>
                <w:sz w:val="20"/>
                <w:szCs w:val="20"/>
              </w:rPr>
              <w:t xml:space="preserve">hildren and </w:t>
            </w:r>
            <w:r w:rsidRPr="008F480E">
              <w:rPr>
                <w:sz w:val="20"/>
                <w:szCs w:val="20"/>
              </w:rPr>
              <w:t>Y</w:t>
            </w:r>
            <w:r w:rsidR="00344850">
              <w:rPr>
                <w:sz w:val="20"/>
                <w:szCs w:val="20"/>
              </w:rPr>
              <w:t xml:space="preserve">oung </w:t>
            </w:r>
            <w:r w:rsidRPr="008F480E">
              <w:rPr>
                <w:sz w:val="20"/>
                <w:szCs w:val="20"/>
              </w:rPr>
              <w:t>P</w:t>
            </w:r>
            <w:r w:rsidR="00344850">
              <w:rPr>
                <w:sz w:val="20"/>
                <w:szCs w:val="20"/>
              </w:rPr>
              <w:t>eople</w:t>
            </w:r>
          </w:p>
        </w:tc>
        <w:tc>
          <w:tcPr>
            <w:tcW w:w="7371" w:type="dxa"/>
          </w:tcPr>
          <w:p w14:paraId="773A75D3"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Key proposals include:</w:t>
            </w:r>
          </w:p>
          <w:p w14:paraId="18C712D2"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 xml:space="preserve">State-wide education campaign: </w:t>
            </w:r>
            <w:r w:rsidRPr="008F480E">
              <w:rPr>
                <w:color w:val="auto"/>
                <w:sz w:val="20"/>
                <w:lang w:val="en-GB"/>
              </w:rPr>
              <w:t>Children and young people-led campaign to increase awareness of homelessness and its impacts on young people.</w:t>
            </w:r>
          </w:p>
          <w:p w14:paraId="2829BCCF"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lang w:val="en-GB"/>
              </w:rPr>
              <w:t>Ensure staff and service of Link2Home is tailored for young people, including to ensure they feel respected and supported.</w:t>
            </w:r>
          </w:p>
          <w:p w14:paraId="643D25B7"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lang w:val="en-GB"/>
              </w:rPr>
              <w:t>Increase in clinics and rehabilitation facilities with the capacity to support young people with complex needs.</w:t>
            </w:r>
          </w:p>
          <w:p w14:paraId="18DCD97D" w14:textId="76192F8D"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Ensure young people can travel safely to and from accommodation (e.g. travel vouchers)</w:t>
            </w:r>
            <w:r w:rsidR="008D4171">
              <w:rPr>
                <w:color w:val="auto"/>
                <w:sz w:val="20"/>
                <w:lang w:val="en-GB"/>
              </w:rPr>
              <w:t>.</w:t>
            </w:r>
          </w:p>
          <w:p w14:paraId="6B905B7C" w14:textId="5910D71C"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Reduce cost of obtaining driver’s licence</w:t>
            </w:r>
            <w:r w:rsidR="008D4171">
              <w:rPr>
                <w:color w:val="auto"/>
                <w:sz w:val="20"/>
                <w:lang w:val="en-GB"/>
              </w:rPr>
              <w:t>.</w:t>
            </w:r>
          </w:p>
          <w:p w14:paraId="1C12A467" w14:textId="6AA20B99"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Specialist Homelessness Services (SHS) resources to include comprehensive supports for young people with complex needs, including where interacting with the justice system</w:t>
            </w:r>
            <w:r w:rsidR="008D4171">
              <w:rPr>
                <w:color w:val="auto"/>
                <w:sz w:val="20"/>
                <w:lang w:val="en-GB"/>
              </w:rPr>
              <w:t>.</w:t>
            </w:r>
          </w:p>
          <w:p w14:paraId="1239BCBE" w14:textId="65A3D435"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lang w:val="en-GB"/>
              </w:rPr>
              <w:t>Increase SHS accommodation for children and young people who would otherwise be detained due to not having secure accommodation</w:t>
            </w:r>
            <w:r w:rsidR="008D4171">
              <w:rPr>
                <w:color w:val="auto"/>
                <w:sz w:val="20"/>
                <w:lang w:val="en-GB"/>
              </w:rPr>
              <w:t>.</w:t>
            </w:r>
          </w:p>
        </w:tc>
      </w:tr>
      <w:tr w:rsidR="002D4D94" w:rsidRPr="008F480E" w14:paraId="6435927A" w14:textId="77777777" w:rsidTr="00425036">
        <w:trPr>
          <w:trHeight w:val="3270"/>
        </w:trPr>
        <w:tc>
          <w:tcPr>
            <w:tcW w:w="2547" w:type="dxa"/>
          </w:tcPr>
          <w:p w14:paraId="0EDE5ADF" w14:textId="77777777" w:rsidR="00A5158A" w:rsidRPr="008F480E" w:rsidRDefault="00000000" w:rsidP="003041FD">
            <w:pPr>
              <w:autoSpaceDE w:val="0"/>
              <w:autoSpaceDN w:val="0"/>
              <w:adjustRightInd w:val="0"/>
              <w:spacing w:before="120" w:after="120"/>
              <w:rPr>
                <w:rStyle w:val="eop"/>
                <w:rFonts w:asciiTheme="minorHAnsi" w:hAnsiTheme="minorHAnsi"/>
                <w:color w:val="auto"/>
                <w:shd w:val="clear" w:color="auto" w:fill="FFFFFF"/>
              </w:rPr>
            </w:pPr>
            <w:hyperlink r:id="rId17" w:history="1">
              <w:r w:rsidR="002D4D94" w:rsidRPr="008F480E">
                <w:rPr>
                  <w:rStyle w:val="Hyperlink"/>
                  <w:rFonts w:asciiTheme="minorHAnsi" w:hAnsiTheme="minorHAnsi"/>
                  <w:i/>
                  <w:iCs/>
                  <w:color w:val="auto"/>
                  <w:shd w:val="clear" w:color="auto" w:fill="FFFFFF"/>
                </w:rPr>
                <w:t>CREATE Position Paper No. 15: Priority Access to Housing</w:t>
              </w:r>
            </w:hyperlink>
            <w:r w:rsidR="002D4D94" w:rsidRPr="008F480E">
              <w:rPr>
                <w:rStyle w:val="eop"/>
                <w:rFonts w:asciiTheme="minorHAnsi" w:hAnsiTheme="minorHAnsi"/>
                <w:color w:val="auto"/>
                <w:shd w:val="clear" w:color="auto" w:fill="FFFFFF"/>
              </w:rPr>
              <w:t> </w:t>
            </w:r>
          </w:p>
          <w:p w14:paraId="039124A1" w14:textId="4108EFA5" w:rsidR="00A5158A" w:rsidRPr="008F480E" w:rsidRDefault="00A5158A" w:rsidP="003041FD">
            <w:pPr>
              <w:autoSpaceDE w:val="0"/>
              <w:autoSpaceDN w:val="0"/>
              <w:adjustRightInd w:val="0"/>
              <w:spacing w:before="120" w:after="120"/>
              <w:rPr>
                <w:rStyle w:val="normaltextrun"/>
                <w:rFonts w:asciiTheme="minorHAnsi" w:hAnsiTheme="minorHAnsi"/>
                <w:color w:val="auto"/>
                <w:shd w:val="clear" w:color="auto" w:fill="FFFFFF"/>
              </w:rPr>
            </w:pPr>
            <w:r w:rsidRPr="008F480E">
              <w:rPr>
                <w:rStyle w:val="normaltextrun"/>
                <w:rFonts w:asciiTheme="minorHAnsi" w:hAnsiTheme="minorHAnsi"/>
                <w:color w:val="auto"/>
                <w:shd w:val="clear" w:color="auto" w:fill="FFFFFF"/>
              </w:rPr>
              <w:t>CREATE Foundation - National Housing and Homelessness Submission 2023</w:t>
            </w:r>
          </w:p>
          <w:p w14:paraId="443025E3" w14:textId="7236F6A6" w:rsidR="002D4D94" w:rsidRPr="008F480E" w:rsidRDefault="002D4D94" w:rsidP="003041FD">
            <w:pPr>
              <w:spacing w:before="120" w:after="120"/>
              <w:rPr>
                <w:rFonts w:asciiTheme="minorHAnsi" w:hAnsiTheme="minorHAnsi"/>
                <w:color w:val="auto"/>
              </w:rPr>
            </w:pPr>
          </w:p>
        </w:tc>
        <w:tc>
          <w:tcPr>
            <w:tcW w:w="7371" w:type="dxa"/>
          </w:tcPr>
          <w:p w14:paraId="062A6171"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 xml:space="preserve">Supports for people leaving out of home care (OOHC) to create stable housing futures. </w:t>
            </w:r>
          </w:p>
          <w:p w14:paraId="22E8D5B7" w14:textId="77777777" w:rsidR="002D4D94" w:rsidRPr="008F480E" w:rsidRDefault="002D4D94" w:rsidP="003041FD">
            <w:pPr>
              <w:spacing w:before="120" w:after="120"/>
              <w:rPr>
                <w:rStyle w:val="normaltextrun"/>
                <w:rFonts w:asciiTheme="minorHAnsi" w:hAnsiTheme="minorHAnsi" w:cs="Avenir-Book"/>
                <w:color w:val="auto"/>
              </w:rPr>
            </w:pPr>
            <w:r w:rsidRPr="008F480E">
              <w:rPr>
                <w:rStyle w:val="normaltextrun"/>
                <w:rFonts w:asciiTheme="minorHAnsi" w:hAnsiTheme="minorHAnsi" w:cs="Avenir-Book"/>
                <w:color w:val="auto"/>
              </w:rPr>
              <w:t xml:space="preserve"> </w:t>
            </w:r>
          </w:p>
          <w:p w14:paraId="595B80A8" w14:textId="77777777" w:rsidR="002D4D94" w:rsidRPr="008F480E" w:rsidRDefault="002D4D94" w:rsidP="003041FD">
            <w:pPr>
              <w:spacing w:before="120" w:after="120"/>
              <w:rPr>
                <w:rStyle w:val="normaltextrun"/>
                <w:rFonts w:asciiTheme="minorHAnsi" w:hAnsiTheme="minorHAnsi" w:cs="Avenir-Book"/>
                <w:color w:val="auto"/>
              </w:rPr>
            </w:pPr>
            <w:r w:rsidRPr="008F480E">
              <w:rPr>
                <w:rStyle w:val="normaltextrun"/>
                <w:rFonts w:asciiTheme="minorHAnsi" w:hAnsiTheme="minorHAnsi" w:cs="Avenir-Book"/>
                <w:color w:val="auto"/>
              </w:rPr>
              <w:t>Housing priorities include:</w:t>
            </w:r>
          </w:p>
          <w:p w14:paraId="26638932" w14:textId="77777777" w:rsidR="002D4D94" w:rsidRPr="008F480E" w:rsidRDefault="002D4D94" w:rsidP="003041FD">
            <w:pPr>
              <w:pStyle w:val="ListBullet"/>
              <w:numPr>
                <w:ilvl w:val="0"/>
                <w:numId w:val="1"/>
              </w:numPr>
              <w:tabs>
                <w:tab w:val="clear" w:pos="714"/>
              </w:tabs>
              <w:suppressAutoHyphens w:val="0"/>
              <w:ind w:left="357"/>
              <w:rPr>
                <w:rStyle w:val="normaltextrun"/>
                <w:rFonts w:cs="Avenir-Book"/>
                <w:color w:val="auto"/>
                <w:sz w:val="20"/>
              </w:rPr>
            </w:pPr>
            <w:r w:rsidRPr="008F480E">
              <w:rPr>
                <w:rStyle w:val="normaltextrun"/>
                <w:rFonts w:cs="Calibri"/>
                <w:color w:val="auto"/>
                <w:sz w:val="20"/>
                <w:shd w:val="clear" w:color="auto" w:fill="FFFFFF"/>
              </w:rPr>
              <w:t>Provide guaranteed housing placements until 25</w:t>
            </w:r>
          </w:p>
          <w:p w14:paraId="539306AC" w14:textId="77777777" w:rsidR="002D4D94" w:rsidRPr="008F480E" w:rsidRDefault="002D4D94" w:rsidP="003041FD">
            <w:pPr>
              <w:pStyle w:val="ListBullet"/>
              <w:numPr>
                <w:ilvl w:val="0"/>
                <w:numId w:val="1"/>
              </w:numPr>
              <w:tabs>
                <w:tab w:val="clear" w:pos="714"/>
              </w:tabs>
              <w:suppressAutoHyphens w:val="0"/>
              <w:ind w:left="357"/>
              <w:rPr>
                <w:rStyle w:val="normaltextrun"/>
                <w:rFonts w:cs="Avenir-Book"/>
                <w:color w:val="auto"/>
                <w:sz w:val="20"/>
              </w:rPr>
            </w:pPr>
            <w:r w:rsidRPr="008F480E">
              <w:rPr>
                <w:rStyle w:val="normaltextrun"/>
                <w:rFonts w:cs="Calibri"/>
                <w:color w:val="auto"/>
                <w:sz w:val="20"/>
                <w:shd w:val="clear" w:color="auto" w:fill="FFFFFF"/>
              </w:rPr>
              <w:t>Post-care support package of $16k per annum</w:t>
            </w:r>
          </w:p>
          <w:p w14:paraId="4A73E793" w14:textId="77777777" w:rsidR="002D4D94" w:rsidRPr="008F480E" w:rsidRDefault="002D4D94" w:rsidP="003041FD">
            <w:pPr>
              <w:pStyle w:val="ListBullet"/>
              <w:numPr>
                <w:ilvl w:val="0"/>
                <w:numId w:val="1"/>
              </w:numPr>
              <w:tabs>
                <w:tab w:val="clear" w:pos="714"/>
              </w:tabs>
              <w:suppressAutoHyphens w:val="0"/>
              <w:ind w:left="357"/>
              <w:rPr>
                <w:rStyle w:val="normaltextrun"/>
                <w:rFonts w:cs="Avenir-Book"/>
                <w:color w:val="auto"/>
                <w:sz w:val="20"/>
              </w:rPr>
            </w:pPr>
            <w:r w:rsidRPr="008F480E">
              <w:rPr>
                <w:rStyle w:val="normaltextrun"/>
                <w:rFonts w:cs="Calibri"/>
                <w:color w:val="auto"/>
                <w:sz w:val="20"/>
                <w:shd w:val="clear" w:color="auto" w:fill="FFFFFF"/>
              </w:rPr>
              <w:t>Increasing housing options including foyers and private rental subsidies</w:t>
            </w:r>
          </w:p>
          <w:p w14:paraId="5B87CC3D" w14:textId="77777777" w:rsidR="002D4D94" w:rsidRPr="008F480E" w:rsidRDefault="002D4D94" w:rsidP="003041FD">
            <w:pPr>
              <w:pStyle w:val="ListBullet"/>
              <w:numPr>
                <w:ilvl w:val="0"/>
                <w:numId w:val="1"/>
              </w:numPr>
              <w:tabs>
                <w:tab w:val="clear" w:pos="714"/>
              </w:tabs>
              <w:suppressAutoHyphens w:val="0"/>
              <w:ind w:left="357"/>
              <w:rPr>
                <w:rStyle w:val="normaltextrun"/>
                <w:rFonts w:cs="Avenir-Book"/>
                <w:color w:val="auto"/>
                <w:sz w:val="20"/>
              </w:rPr>
            </w:pPr>
            <w:r w:rsidRPr="008F480E">
              <w:rPr>
                <w:rStyle w:val="normaltextrun"/>
                <w:rFonts w:cs="Calibri"/>
                <w:color w:val="auto"/>
                <w:sz w:val="20"/>
                <w:shd w:val="clear" w:color="auto" w:fill="FFFFFF"/>
              </w:rPr>
              <w:t>Stable wrap around support in place on exit</w:t>
            </w:r>
          </w:p>
          <w:p w14:paraId="03B33833" w14:textId="77777777" w:rsidR="002D4D94" w:rsidRPr="008F480E" w:rsidRDefault="002D4D94" w:rsidP="003041FD">
            <w:pPr>
              <w:pStyle w:val="ListBullet"/>
              <w:numPr>
                <w:ilvl w:val="0"/>
                <w:numId w:val="1"/>
              </w:numPr>
              <w:tabs>
                <w:tab w:val="clear" w:pos="714"/>
              </w:tabs>
              <w:suppressAutoHyphens w:val="0"/>
              <w:ind w:left="357"/>
              <w:rPr>
                <w:rStyle w:val="normaltextrun"/>
                <w:rFonts w:cs="Calibri"/>
                <w:color w:val="auto"/>
                <w:sz w:val="20"/>
                <w:shd w:val="clear" w:color="auto" w:fill="FFFFFF"/>
              </w:rPr>
            </w:pPr>
            <w:r w:rsidRPr="008F480E">
              <w:rPr>
                <w:rStyle w:val="normaltextrun"/>
                <w:rFonts w:cs="Calibri"/>
                <w:color w:val="auto"/>
                <w:sz w:val="20"/>
                <w:shd w:val="clear" w:color="auto" w:fill="FFFFFF"/>
              </w:rPr>
              <w:t>Free on campus accommodation for OOHC leavers at university</w:t>
            </w:r>
          </w:p>
          <w:p w14:paraId="0D7FAF8F" w14:textId="77777777" w:rsidR="002D4D94" w:rsidRPr="008F480E" w:rsidRDefault="002D4D94" w:rsidP="003041FD">
            <w:pPr>
              <w:spacing w:before="120" w:after="120"/>
              <w:rPr>
                <w:rFonts w:asciiTheme="minorHAnsi" w:hAnsiTheme="minorHAnsi"/>
                <w:color w:val="auto"/>
                <w:lang w:val="en-GB"/>
              </w:rPr>
            </w:pPr>
          </w:p>
          <w:p w14:paraId="741EFF50" w14:textId="55D6DDE8" w:rsidR="002D4D94" w:rsidRPr="00450F5A" w:rsidRDefault="002D4D94" w:rsidP="00450F5A">
            <w:pPr>
              <w:spacing w:before="120" w:after="120"/>
              <w:rPr>
                <w:rFonts w:asciiTheme="minorHAnsi" w:hAnsiTheme="minorHAnsi"/>
                <w:color w:val="auto"/>
              </w:rPr>
            </w:pPr>
            <w:r w:rsidRPr="008F480E">
              <w:rPr>
                <w:rFonts w:asciiTheme="minorHAnsi" w:hAnsiTheme="minorHAnsi"/>
                <w:color w:val="auto"/>
                <w:lang w:val="en-GB"/>
              </w:rPr>
              <w:t>CREATE supports initiatives to increase housing options and priority for young people leaving care and support and advocacy for young people to navigate housing assistance systems including making applications.</w:t>
            </w:r>
            <w:r w:rsidRPr="008F480E">
              <w:rPr>
                <w:rStyle w:val="eop"/>
                <w:rFonts w:asciiTheme="minorHAnsi" w:hAnsiTheme="minorHAnsi"/>
                <w:color w:val="auto"/>
                <w:shd w:val="clear" w:color="auto" w:fill="FFFFFF"/>
              </w:rPr>
              <w:t> </w:t>
            </w:r>
          </w:p>
        </w:tc>
      </w:tr>
      <w:tr w:rsidR="002D4D94" w:rsidRPr="008F480E" w14:paraId="4DCEC643" w14:textId="77777777" w:rsidTr="00425036">
        <w:trPr>
          <w:trHeight w:val="1928"/>
        </w:trPr>
        <w:tc>
          <w:tcPr>
            <w:tcW w:w="2547" w:type="dxa"/>
          </w:tcPr>
          <w:p w14:paraId="6E4E3B9E" w14:textId="3477F33E" w:rsidR="005D01E5" w:rsidRPr="008F480E" w:rsidRDefault="002D4D94" w:rsidP="003041FD">
            <w:pPr>
              <w:spacing w:before="120" w:after="120"/>
              <w:rPr>
                <w:rFonts w:asciiTheme="minorHAnsi" w:hAnsiTheme="minorHAnsi"/>
                <w:color w:val="auto"/>
              </w:rPr>
            </w:pPr>
            <w:r w:rsidRPr="008F480E">
              <w:rPr>
                <w:rFonts w:asciiTheme="minorHAnsi" w:hAnsiTheme="minorHAnsi"/>
                <w:i/>
                <w:iCs/>
                <w:color w:val="auto"/>
              </w:rPr>
              <w:t>LGBTIQ+ Homelessness: A Review of the Literature</w:t>
            </w:r>
            <w:r w:rsidRPr="008F480E">
              <w:rPr>
                <w:rFonts w:asciiTheme="minorHAnsi" w:hAnsiTheme="minorHAnsi"/>
                <w:color w:val="auto"/>
              </w:rPr>
              <w:t xml:space="preserve">. Int J Environ Res Public Health. </w:t>
            </w:r>
            <w:r w:rsidRPr="008F480E">
              <w:rPr>
                <w:rFonts w:asciiTheme="minorHAnsi" w:hAnsiTheme="minorHAnsi"/>
                <w:i/>
                <w:iCs/>
                <w:color w:val="auto"/>
              </w:rPr>
              <w:t>2019 Jul 26</w:t>
            </w:r>
          </w:p>
          <w:p w14:paraId="76413A3E" w14:textId="78BB5914" w:rsidR="002D4D94" w:rsidRPr="008F480E" w:rsidRDefault="005D01E5" w:rsidP="003041FD">
            <w:pPr>
              <w:spacing w:before="120" w:after="120"/>
              <w:rPr>
                <w:rFonts w:asciiTheme="minorHAnsi" w:hAnsiTheme="minorHAnsi"/>
                <w:color w:val="auto"/>
              </w:rPr>
            </w:pPr>
            <w:r w:rsidRPr="008F480E">
              <w:rPr>
                <w:rFonts w:asciiTheme="minorHAnsi" w:hAnsiTheme="minorHAnsi"/>
                <w:color w:val="auto"/>
              </w:rPr>
              <w:t>Fraser B, Pierse N, Chisholm E, Cook H.</w:t>
            </w:r>
          </w:p>
        </w:tc>
        <w:tc>
          <w:tcPr>
            <w:tcW w:w="7371" w:type="dxa"/>
          </w:tcPr>
          <w:p w14:paraId="3F645A41"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Report identifies prevalence of homelessness among LGBTIQA+ young people. “LGBTIQ+ people comprise an estimated 20–40% of homeless populations, whilst only comprising 5–10% of the wider population [</w:t>
            </w:r>
            <w:hyperlink r:id="rId18" w:anchor="B5-ijerph-16-02677" w:history="1">
              <w:r w:rsidRPr="008F480E">
                <w:rPr>
                  <w:rFonts w:asciiTheme="minorHAnsi" w:hAnsiTheme="minorHAnsi"/>
                  <w:color w:val="auto"/>
                </w:rPr>
                <w:t>5</w:t>
              </w:r>
            </w:hyperlink>
            <w:r w:rsidRPr="008F480E">
              <w:rPr>
                <w:rFonts w:asciiTheme="minorHAnsi" w:hAnsiTheme="minorHAnsi"/>
                <w:color w:val="auto"/>
              </w:rPr>
              <w:t>,</w:t>
            </w:r>
            <w:hyperlink r:id="rId19" w:anchor="B6-ijerph-16-02677" w:history="1">
              <w:r w:rsidRPr="008F480E">
                <w:rPr>
                  <w:rFonts w:asciiTheme="minorHAnsi" w:hAnsiTheme="minorHAnsi"/>
                  <w:color w:val="auto"/>
                </w:rPr>
                <w:t>6</w:t>
              </w:r>
            </w:hyperlink>
            <w:r w:rsidRPr="008F480E">
              <w:rPr>
                <w:rFonts w:asciiTheme="minorHAnsi" w:hAnsiTheme="minorHAnsi"/>
                <w:color w:val="auto"/>
              </w:rPr>
              <w:t>].” Finding that intersectionality and impact of layered identities increases prevalence.</w:t>
            </w:r>
          </w:p>
          <w:p w14:paraId="07E741AA" w14:textId="77777777" w:rsidR="002D4D94" w:rsidRPr="008F480E" w:rsidRDefault="002D4D94" w:rsidP="003041FD">
            <w:pPr>
              <w:spacing w:before="120" w:after="120"/>
              <w:rPr>
                <w:rFonts w:asciiTheme="minorHAnsi" w:hAnsiTheme="minorHAnsi"/>
                <w:color w:val="auto"/>
              </w:rPr>
            </w:pPr>
          </w:p>
        </w:tc>
      </w:tr>
      <w:tr w:rsidR="002D4D94" w:rsidRPr="008F480E" w14:paraId="4DA44AA2" w14:textId="77777777" w:rsidTr="00425036">
        <w:trPr>
          <w:trHeight w:val="454"/>
        </w:trPr>
        <w:tc>
          <w:tcPr>
            <w:tcW w:w="2547" w:type="dxa"/>
          </w:tcPr>
          <w:p w14:paraId="1098D854" w14:textId="46554003" w:rsidR="002D4D94" w:rsidRPr="008F480E" w:rsidRDefault="00000000" w:rsidP="003041FD">
            <w:pPr>
              <w:spacing w:before="120" w:after="120"/>
              <w:rPr>
                <w:rStyle w:val="Hyperlink"/>
                <w:rFonts w:asciiTheme="minorHAnsi" w:hAnsiTheme="minorHAnsi"/>
                <w:color w:val="auto"/>
                <w:lang w:val="en-GB"/>
              </w:rPr>
            </w:pPr>
            <w:hyperlink r:id="rId20" w:history="1">
              <w:r w:rsidR="002D4D94" w:rsidRPr="008F480E">
                <w:rPr>
                  <w:rStyle w:val="Hyperlink"/>
                  <w:rFonts w:asciiTheme="minorHAnsi" w:hAnsiTheme="minorHAnsi"/>
                  <w:i/>
                  <w:iCs/>
                  <w:color w:val="auto"/>
                  <w:lang w:val="en-GB"/>
                </w:rPr>
                <w:t xml:space="preserve">A Safe and Decent Place to Live: Towards a Housing First Framework for Youth, </w:t>
              </w:r>
              <w:r w:rsidR="002D4D94" w:rsidRPr="008F480E">
                <w:rPr>
                  <w:rStyle w:val="Hyperlink"/>
                  <w:rFonts w:asciiTheme="minorHAnsi" w:hAnsiTheme="minorHAnsi"/>
                  <w:color w:val="auto"/>
                  <w:lang w:val="en-GB"/>
                </w:rPr>
                <w:t>Toronto: Canadian Observatory on Homelessness Press</w:t>
              </w:r>
            </w:hyperlink>
          </w:p>
          <w:p w14:paraId="164C73D6" w14:textId="6BDFA8F2" w:rsidR="00CD0505" w:rsidRPr="008F480E" w:rsidRDefault="00CD0505" w:rsidP="003041FD">
            <w:pPr>
              <w:spacing w:before="120" w:after="120"/>
              <w:rPr>
                <w:rStyle w:val="Hyperlink"/>
                <w:rFonts w:asciiTheme="minorHAnsi" w:hAnsiTheme="minorHAnsi"/>
                <w:color w:val="auto"/>
                <w:u w:val="none"/>
                <w:lang w:val="en-GB"/>
              </w:rPr>
            </w:pPr>
            <w:r w:rsidRPr="008F480E">
              <w:rPr>
                <w:rStyle w:val="Hyperlink"/>
                <w:rFonts w:asciiTheme="minorHAnsi" w:hAnsiTheme="minorHAnsi"/>
                <w:color w:val="auto"/>
                <w:u w:val="none"/>
                <w:lang w:val="en-GB"/>
              </w:rPr>
              <w:t xml:space="preserve">Gaetz S 2014 </w:t>
            </w:r>
          </w:p>
          <w:p w14:paraId="43951E60" w14:textId="77777777" w:rsidR="00CD0505" w:rsidRPr="008F480E" w:rsidRDefault="00CD0505" w:rsidP="003041FD">
            <w:pPr>
              <w:pStyle w:val="BodyText"/>
              <w:rPr>
                <w:sz w:val="20"/>
                <w:szCs w:val="20"/>
              </w:rPr>
            </w:pPr>
          </w:p>
          <w:p w14:paraId="39DD7407" w14:textId="77777777" w:rsidR="002D4D94" w:rsidRPr="008F480E" w:rsidRDefault="00000000" w:rsidP="003041FD">
            <w:pPr>
              <w:autoSpaceDE w:val="0"/>
              <w:autoSpaceDN w:val="0"/>
              <w:adjustRightInd w:val="0"/>
              <w:spacing w:before="120" w:after="120"/>
              <w:rPr>
                <w:rStyle w:val="normaltextrun"/>
                <w:rFonts w:asciiTheme="minorHAnsi" w:hAnsiTheme="minorHAnsi"/>
                <w:i/>
                <w:iCs/>
                <w:color w:val="auto"/>
                <w:shd w:val="clear" w:color="auto" w:fill="FFFFFF"/>
              </w:rPr>
            </w:pPr>
            <w:hyperlink r:id="rId21" w:history="1">
              <w:r w:rsidR="002D4D94" w:rsidRPr="008F480E">
                <w:rPr>
                  <w:rStyle w:val="Hyperlink"/>
                  <w:rFonts w:asciiTheme="minorHAnsi" w:hAnsiTheme="minorHAnsi"/>
                  <w:i/>
                  <w:iCs/>
                  <w:color w:val="auto"/>
                </w:rPr>
                <w:t>Preventing youth homelessness; An international review of evidence</w:t>
              </w:r>
            </w:hyperlink>
          </w:p>
        </w:tc>
        <w:tc>
          <w:tcPr>
            <w:tcW w:w="7371" w:type="dxa"/>
          </w:tcPr>
          <w:p w14:paraId="7FB8F71F"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Develop and implement a coordinated assessment specifically designed for children and young people. This improves triage and helps coordinate responses.</w:t>
            </w:r>
          </w:p>
          <w:p w14:paraId="75ED6482"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lang w:val="en-GB"/>
              </w:rPr>
              <w:t xml:space="preserve">Potential tools include </w:t>
            </w:r>
            <w:r w:rsidRPr="008F480E">
              <w:rPr>
                <w:rFonts w:asciiTheme="minorHAnsi" w:hAnsiTheme="minorHAnsi"/>
                <w:color w:val="auto"/>
              </w:rPr>
              <w:t>Outcomes Star (MacKeith et al., 2006). Another one that is used in some communities in Canada (such as Hamilton by the Street Youth Planning Collaborative) is called the Child and Adolescent Needs and Strengths (CANS)⁷.</w:t>
            </w:r>
          </w:p>
          <w:p w14:paraId="2F35BFFF"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The Youth Assessment and Prioritization Tool (YAP) is a Canadian tool developed to screen for risk of homelessness amongst youth. It is generally conducted when a vulnerable young person comes into contact with the social service system. The tool consists of 22 mandatory pre-screen questions focused on short and long-term risk of homelessness, followed by an interview (if necessary).</w:t>
            </w:r>
          </w:p>
          <w:p w14:paraId="3C135B59"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Pathways that offer a mechanism for children and young people to develop social relationships, community engagement, cultural engagement and other meaningful activity.</w:t>
            </w:r>
          </w:p>
        </w:tc>
      </w:tr>
      <w:tr w:rsidR="002D4D94" w:rsidRPr="008F480E" w14:paraId="69929973" w14:textId="77777777" w:rsidTr="00425036">
        <w:tc>
          <w:tcPr>
            <w:tcW w:w="2547" w:type="dxa"/>
          </w:tcPr>
          <w:p w14:paraId="60ED4C89" w14:textId="52A74AAF" w:rsidR="00346332" w:rsidRPr="008F480E" w:rsidRDefault="00346332" w:rsidP="003041FD">
            <w:pPr>
              <w:spacing w:before="120" w:after="120"/>
              <w:rPr>
                <w:rFonts w:asciiTheme="minorHAnsi" w:hAnsiTheme="minorHAnsi"/>
                <w:i/>
                <w:iCs/>
                <w:color w:val="auto"/>
                <w:lang w:val="en-GB"/>
              </w:rPr>
            </w:pPr>
            <w:r w:rsidRPr="008F480E">
              <w:rPr>
                <w:rFonts w:asciiTheme="minorHAnsi" w:hAnsiTheme="minorHAnsi"/>
                <w:i/>
                <w:iCs/>
                <w:color w:val="auto"/>
                <w:lang w:val="en-GB"/>
              </w:rPr>
              <w:t xml:space="preserve">This is Housing First 4 Youth </w:t>
            </w:r>
            <w:hyperlink r:id="rId22" w:history="1">
              <w:r w:rsidR="002D4D94" w:rsidRPr="008F480E">
                <w:rPr>
                  <w:rStyle w:val="Hyperlink"/>
                  <w:rFonts w:asciiTheme="minorHAnsi" w:hAnsiTheme="minorHAnsi"/>
                  <w:i/>
                  <w:iCs/>
                  <w:color w:val="auto"/>
                  <w:lang w:val="en-GB"/>
                </w:rPr>
                <w:t>program model guide</w:t>
              </w:r>
            </w:hyperlink>
            <w:r w:rsidRPr="008F480E">
              <w:rPr>
                <w:rFonts w:asciiTheme="minorHAnsi" w:hAnsiTheme="minorHAnsi"/>
                <w:i/>
                <w:iCs/>
                <w:color w:val="auto"/>
                <w:lang w:val="en-GB"/>
              </w:rPr>
              <w:t xml:space="preserve"> </w:t>
            </w:r>
          </w:p>
          <w:p w14:paraId="455CB033" w14:textId="77777777" w:rsidR="00273C48" w:rsidRPr="008F480E" w:rsidRDefault="00273C48" w:rsidP="003041FD">
            <w:pPr>
              <w:spacing w:before="120" w:after="120"/>
              <w:rPr>
                <w:rFonts w:asciiTheme="minorHAnsi" w:hAnsiTheme="minorHAnsi"/>
                <w:color w:val="auto"/>
                <w:lang w:val="en-GB"/>
              </w:rPr>
            </w:pPr>
          </w:p>
          <w:p w14:paraId="32D018DF" w14:textId="44247300" w:rsidR="002D4D94" w:rsidRPr="008F480E" w:rsidRDefault="00346332" w:rsidP="003041FD">
            <w:pPr>
              <w:spacing w:before="120" w:after="120"/>
              <w:rPr>
                <w:rFonts w:asciiTheme="minorHAnsi" w:hAnsiTheme="minorHAnsi"/>
                <w:color w:val="auto"/>
              </w:rPr>
            </w:pPr>
            <w:r w:rsidRPr="008F480E">
              <w:rPr>
                <w:rFonts w:asciiTheme="minorHAnsi" w:hAnsiTheme="minorHAnsi"/>
                <w:color w:val="auto"/>
                <w:lang w:val="en-GB"/>
              </w:rPr>
              <w:t>HF4Y Canada</w:t>
            </w:r>
          </w:p>
        </w:tc>
        <w:tc>
          <w:tcPr>
            <w:tcW w:w="7371" w:type="dxa"/>
          </w:tcPr>
          <w:p w14:paraId="7456EBB0"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 xml:space="preserve">A model developed up in Canada. Includes an underpinning philosophy and considers program, system, service delivery, individual intervention levels. Housing first (congregate and scattered) plus a defined model of support. </w:t>
            </w:r>
          </w:p>
          <w:p w14:paraId="2A774D27"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Key elements include:</w:t>
            </w:r>
          </w:p>
          <w:p w14:paraId="3DD79D4C" w14:textId="563FDA2E"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Family reconnection support: Support to the children and young people in crisis/medium-term housing to assist them to reconnect with family</w:t>
            </w:r>
            <w:r w:rsidR="008D4171">
              <w:rPr>
                <w:color w:val="auto"/>
                <w:sz w:val="20"/>
              </w:rPr>
              <w:t>.</w:t>
            </w:r>
            <w:r w:rsidRPr="008F480E">
              <w:rPr>
                <w:color w:val="auto"/>
                <w:sz w:val="20"/>
              </w:rPr>
              <w:t xml:space="preserve"> </w:t>
            </w:r>
          </w:p>
          <w:p w14:paraId="13BA3511"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Supports for families:</w:t>
            </w:r>
            <w:r w:rsidRPr="008F480E">
              <w:rPr>
                <w:color w:val="auto"/>
                <w:sz w:val="20"/>
                <w:lang w:val="en-GB"/>
              </w:rPr>
              <w:t xml:space="preserve"> Support for families of young people (as opposed to children and young people themselves) experiencing homelessness esp. early intervention and support for care families, esp. for mental </w:t>
            </w:r>
            <w:r w:rsidRPr="008F480E">
              <w:rPr>
                <w:color w:val="auto"/>
                <w:sz w:val="20"/>
                <w:lang w:val="en-GB"/>
              </w:rPr>
              <w:lastRenderedPageBreak/>
              <w:t>health or alcohol and other drugs or criminal behaviour. The aim is to facilitate reunification even from supported accommodation.</w:t>
            </w:r>
          </w:p>
        </w:tc>
      </w:tr>
      <w:tr w:rsidR="002D4D94" w:rsidRPr="008F480E" w14:paraId="12EA35E2" w14:textId="77777777" w:rsidTr="00425036">
        <w:trPr>
          <w:trHeight w:val="1474"/>
        </w:trPr>
        <w:tc>
          <w:tcPr>
            <w:tcW w:w="2547" w:type="dxa"/>
          </w:tcPr>
          <w:p w14:paraId="4C3EF437" w14:textId="77777777" w:rsidR="002D4D94" w:rsidRPr="008F480E" w:rsidRDefault="00000000" w:rsidP="003041FD">
            <w:pPr>
              <w:spacing w:before="120" w:after="120"/>
              <w:rPr>
                <w:rStyle w:val="Hyperlink"/>
                <w:rFonts w:asciiTheme="minorHAnsi" w:hAnsiTheme="minorHAnsi"/>
                <w:i/>
                <w:iCs/>
                <w:color w:val="auto"/>
                <w:lang w:val="en-GB"/>
              </w:rPr>
            </w:pPr>
            <w:hyperlink r:id="rId23" w:anchor="page=null" w:history="1">
              <w:r w:rsidR="002D4D94" w:rsidRPr="008F480E">
                <w:rPr>
                  <w:rStyle w:val="Hyperlink"/>
                  <w:rFonts w:asciiTheme="minorHAnsi" w:hAnsiTheme="minorHAnsi"/>
                  <w:i/>
                  <w:iCs/>
                  <w:color w:val="auto"/>
                  <w:lang w:val="en-GB"/>
                </w:rPr>
                <w:t>Housing for All: Youth Homelessness Strategy 2023–2025</w:t>
              </w:r>
            </w:hyperlink>
          </w:p>
          <w:p w14:paraId="3815CD89" w14:textId="169BE07B" w:rsidR="00401172" w:rsidRPr="008F480E" w:rsidRDefault="008538C3" w:rsidP="003041FD">
            <w:pPr>
              <w:pStyle w:val="BodyText"/>
              <w:rPr>
                <w:sz w:val="20"/>
                <w:szCs w:val="20"/>
                <w:lang w:val="en-GB"/>
              </w:rPr>
            </w:pPr>
            <w:r w:rsidRPr="008F480E">
              <w:rPr>
                <w:sz w:val="20"/>
                <w:szCs w:val="20"/>
                <w:lang w:val="en-GB"/>
              </w:rPr>
              <w:t>Government</w:t>
            </w:r>
            <w:r w:rsidR="00B06799" w:rsidRPr="008F480E">
              <w:rPr>
                <w:sz w:val="20"/>
                <w:szCs w:val="20"/>
                <w:lang w:val="en-GB"/>
              </w:rPr>
              <w:t xml:space="preserve"> of Ireland</w:t>
            </w:r>
          </w:p>
        </w:tc>
        <w:tc>
          <w:tcPr>
            <w:tcW w:w="7371" w:type="dxa"/>
          </w:tcPr>
          <w:p w14:paraId="377AC4CE" w14:textId="77777777" w:rsidR="002D4D94" w:rsidRPr="008F480E" w:rsidRDefault="002D4D94" w:rsidP="003041FD">
            <w:pPr>
              <w:pStyle w:val="ListBullet"/>
              <w:numPr>
                <w:ilvl w:val="0"/>
                <w:numId w:val="0"/>
              </w:numPr>
              <w:ind w:left="360" w:hanging="360"/>
              <w:rPr>
                <w:color w:val="auto"/>
                <w:sz w:val="20"/>
              </w:rPr>
            </w:pPr>
            <w:r w:rsidRPr="008F480E">
              <w:rPr>
                <w:color w:val="auto"/>
                <w:sz w:val="20"/>
              </w:rPr>
              <w:t>The Irish Youth Homelessness Strategy focuses on prevention, supportive exits, and quality crisis accommodation.</w:t>
            </w:r>
          </w:p>
          <w:p w14:paraId="7BDCE9F9" w14:textId="77777777" w:rsidR="002D4D94" w:rsidRPr="008F480E" w:rsidRDefault="002D4D94" w:rsidP="003041FD">
            <w:pPr>
              <w:pStyle w:val="ListBullet"/>
              <w:numPr>
                <w:ilvl w:val="0"/>
                <w:numId w:val="0"/>
              </w:numPr>
              <w:ind w:left="360" w:hanging="360"/>
              <w:rPr>
                <w:color w:val="auto"/>
                <w:sz w:val="20"/>
              </w:rPr>
            </w:pPr>
            <w:r w:rsidRPr="008F480E">
              <w:rPr>
                <w:color w:val="auto"/>
                <w:sz w:val="20"/>
              </w:rPr>
              <w:t>Key elements include:</w:t>
            </w:r>
          </w:p>
          <w:p w14:paraId="6508FF2C" w14:textId="3F91C503"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Facilities used as accommodation for children and young people have been designed to meet their needs i.e. from lived experience. Facilities may also include space for family visits to foster connection</w:t>
            </w:r>
            <w:r w:rsidR="008D4171">
              <w:rPr>
                <w:color w:val="auto"/>
                <w:sz w:val="20"/>
              </w:rPr>
              <w:t>.</w:t>
            </w:r>
            <w:r w:rsidRPr="008F480E">
              <w:rPr>
                <w:color w:val="auto"/>
                <w:sz w:val="20"/>
              </w:rPr>
              <w:t xml:space="preserve"> </w:t>
            </w:r>
          </w:p>
          <w:p w14:paraId="253235CB"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 xml:space="preserve">Clarify relationship of mandatory reporting and SHSs. When is it counterproductive; that is, when is reporting in fact deterring children and young people from seeking assistance or impeding their access to assistance. Make sure the connections between OOHC and homelessness support the safety of the YP. </w:t>
            </w:r>
          </w:p>
          <w:p w14:paraId="12467B6D"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Make available programs to address the barriers to leaving homelessness, including general life skills, difficulties with parenting, unemployment or training. This can extend to programs, mentoring, individual support. Also advocacy to assist in identifying and accessing resources.</w:t>
            </w:r>
          </w:p>
          <w:p w14:paraId="34F9AD6F" w14:textId="76E8EE5E"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 xml:space="preserve">Shared accommodation in public or social housing: Makes it possible for young </w:t>
            </w:r>
            <w:r w:rsidR="00FE7FC5" w:rsidRPr="008F480E">
              <w:rPr>
                <w:color w:val="auto"/>
                <w:sz w:val="20"/>
              </w:rPr>
              <w:t>people</w:t>
            </w:r>
            <w:r w:rsidRPr="008F480E">
              <w:rPr>
                <w:color w:val="auto"/>
                <w:sz w:val="20"/>
              </w:rPr>
              <w:t xml:space="preserve"> (who are capable) to live with others in social housing. Likely to require separate tenancies. Also likely to require some way of helping tenants select each other.</w:t>
            </w:r>
          </w:p>
          <w:p w14:paraId="697F54F0"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Individual-focused youth support programs for children and young people in social or private housing (that is, not in medium-term supportive housing) that continues for the duration of their need.</w:t>
            </w:r>
          </w:p>
          <w:p w14:paraId="54EA5E51" w14:textId="77777777"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rPr>
              <w:t xml:space="preserve">Vocational education provides a tailored program for training for vulnerable young people to assist in transitioning to further education or employment. Specialised guidance. </w:t>
            </w:r>
          </w:p>
          <w:p w14:paraId="3E312F2E" w14:textId="65B1961D"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Review all relevant policies applicable to child and young person crisis and medium-term supported housing to ensure they are facilitating program access and not putting in place unintended barriers</w:t>
            </w:r>
            <w:r w:rsidR="008D4171">
              <w:rPr>
                <w:color w:val="auto"/>
                <w:sz w:val="20"/>
                <w:lang w:val="en-GB"/>
              </w:rPr>
              <w:t>.</w:t>
            </w:r>
          </w:p>
          <w:p w14:paraId="7FEBC4CF" w14:textId="5CEE438E"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lang w:val="en-GB"/>
              </w:rPr>
              <w:t xml:space="preserve">Develop privacy and safety strategies for young </w:t>
            </w:r>
            <w:r w:rsidR="008D4171" w:rsidRPr="008F480E">
              <w:rPr>
                <w:color w:val="auto"/>
                <w:sz w:val="20"/>
                <w:lang w:val="en-GB"/>
              </w:rPr>
              <w:t>people using</w:t>
            </w:r>
            <w:r w:rsidRPr="008F480E">
              <w:rPr>
                <w:color w:val="auto"/>
                <w:sz w:val="20"/>
                <w:lang w:val="en-GB"/>
              </w:rPr>
              <w:t xml:space="preserve"> crisis accommodation</w:t>
            </w:r>
            <w:r w:rsidR="008D4171">
              <w:rPr>
                <w:color w:val="auto"/>
                <w:sz w:val="20"/>
                <w:lang w:val="en-GB"/>
              </w:rPr>
              <w:t>.</w:t>
            </w:r>
          </w:p>
        </w:tc>
      </w:tr>
      <w:tr w:rsidR="002D4D94" w:rsidRPr="008F480E" w14:paraId="3186A76E" w14:textId="77777777" w:rsidTr="00425036">
        <w:tc>
          <w:tcPr>
            <w:tcW w:w="2547" w:type="dxa"/>
          </w:tcPr>
          <w:p w14:paraId="09E36AA8" w14:textId="30CD639D" w:rsidR="00803B8F" w:rsidRPr="008F480E" w:rsidRDefault="002D4D94" w:rsidP="003041FD">
            <w:pPr>
              <w:spacing w:before="120" w:after="120"/>
              <w:rPr>
                <w:rFonts w:asciiTheme="minorHAnsi" w:hAnsiTheme="minorHAnsi"/>
                <w:color w:val="auto"/>
                <w:lang w:val="en-GB"/>
              </w:rPr>
            </w:pPr>
            <w:r w:rsidRPr="008F480E">
              <w:rPr>
                <w:rFonts w:asciiTheme="minorHAnsi" w:hAnsiTheme="minorHAnsi"/>
                <w:color w:val="auto"/>
                <w:lang w:val="en-GB"/>
              </w:rPr>
              <w:t xml:space="preserve"> </w:t>
            </w:r>
            <w:r w:rsidRPr="008F480E">
              <w:rPr>
                <w:rFonts w:asciiTheme="minorHAnsi" w:hAnsiTheme="minorHAnsi"/>
                <w:i/>
                <w:iCs/>
                <w:color w:val="auto"/>
                <w:lang w:val="en-GB"/>
              </w:rPr>
              <w:t>Redesign of a homelessness service system for young people</w:t>
            </w:r>
            <w:r w:rsidRPr="008F480E">
              <w:rPr>
                <w:rFonts w:asciiTheme="minorHAnsi" w:hAnsiTheme="minorHAnsi"/>
                <w:color w:val="auto"/>
                <w:lang w:val="en-GB"/>
              </w:rPr>
              <w:t xml:space="preserve">, </w:t>
            </w:r>
            <w:r w:rsidR="00803B8F" w:rsidRPr="008F480E">
              <w:rPr>
                <w:rFonts w:asciiTheme="minorHAnsi" w:hAnsiTheme="minorHAnsi"/>
                <w:color w:val="auto"/>
                <w:lang w:val="en-GB"/>
              </w:rPr>
              <w:t>(2020) </w:t>
            </w:r>
            <w:r w:rsidRPr="008F480E">
              <w:rPr>
                <w:rFonts w:asciiTheme="minorHAnsi" w:hAnsiTheme="minorHAnsi"/>
                <w:color w:val="auto"/>
                <w:lang w:val="en-GB"/>
              </w:rPr>
              <w:t xml:space="preserve">AHURI Final Report No. 327, Australian Housing and Urban Research Institute Limited, Melbourne, </w:t>
            </w:r>
          </w:p>
          <w:p w14:paraId="72077B39" w14:textId="77777777" w:rsidR="00803B8F" w:rsidRPr="008F480E" w:rsidRDefault="00803B8F" w:rsidP="003041FD">
            <w:pPr>
              <w:spacing w:before="120" w:after="120"/>
              <w:rPr>
                <w:rFonts w:asciiTheme="minorHAnsi" w:hAnsiTheme="minorHAnsi"/>
                <w:color w:val="auto"/>
                <w:lang w:val="en-GB"/>
              </w:rPr>
            </w:pPr>
          </w:p>
          <w:p w14:paraId="3E21DC2B" w14:textId="52733B8D" w:rsidR="002D4D94" w:rsidRPr="008F480E" w:rsidRDefault="00803B8F" w:rsidP="003041FD">
            <w:pPr>
              <w:spacing w:before="120" w:after="120"/>
              <w:rPr>
                <w:rFonts w:asciiTheme="minorHAnsi" w:hAnsiTheme="minorHAnsi"/>
                <w:color w:val="auto"/>
              </w:rPr>
            </w:pPr>
            <w:r w:rsidRPr="008F480E">
              <w:rPr>
                <w:rFonts w:asciiTheme="minorHAnsi" w:hAnsiTheme="minorHAnsi"/>
                <w:color w:val="auto"/>
                <w:lang w:val="en-GB"/>
              </w:rPr>
              <w:t xml:space="preserve">MacKenzie, D., Hand, T., Zufferey, C., McNelis, S., Spinney, A., and Tedmanson, D. </w:t>
            </w:r>
          </w:p>
        </w:tc>
        <w:tc>
          <w:tcPr>
            <w:tcW w:w="7371" w:type="dxa"/>
          </w:tcPr>
          <w:p w14:paraId="64FE02DD" w14:textId="77777777" w:rsidR="001C1F39" w:rsidRPr="008F480E" w:rsidRDefault="002D4D94" w:rsidP="003041FD">
            <w:pPr>
              <w:spacing w:before="120" w:after="120"/>
              <w:rPr>
                <w:rFonts w:asciiTheme="minorHAnsi" w:hAnsiTheme="minorHAnsi"/>
                <w:color w:val="auto"/>
              </w:rPr>
            </w:pPr>
            <w:r w:rsidRPr="008F480E">
              <w:rPr>
                <w:rFonts w:asciiTheme="minorHAnsi" w:hAnsiTheme="minorHAnsi"/>
                <w:color w:val="auto"/>
              </w:rPr>
              <w:t xml:space="preserve">Comprehensive report considering drivers, prevalence of youth homelessness and systems approach to addressing youth homelessness more effectively. </w:t>
            </w:r>
          </w:p>
          <w:p w14:paraId="7D8AE496" w14:textId="77777777" w:rsidR="001C1F39" w:rsidRPr="008F480E" w:rsidRDefault="002D4D94" w:rsidP="003041FD">
            <w:pPr>
              <w:spacing w:before="120" w:after="120"/>
              <w:rPr>
                <w:rFonts w:asciiTheme="minorHAnsi" w:hAnsiTheme="minorHAnsi"/>
                <w:color w:val="auto"/>
              </w:rPr>
            </w:pPr>
            <w:r w:rsidRPr="008F480E">
              <w:rPr>
                <w:rFonts w:asciiTheme="minorHAnsi" w:hAnsiTheme="minorHAnsi"/>
                <w:color w:val="auto"/>
              </w:rPr>
              <w:t xml:space="preserve">Recommends service planning and design to shift from a program-oriented approach to a place-based cross-sectoral ‘collective impact’ framework for support and service delivery for at-risk and homeless young people. </w:t>
            </w:r>
          </w:p>
          <w:p w14:paraId="340838E3" w14:textId="06BC36B1"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Involves: common agenda, shared measurements and small area data analysis, differentiated but coordinated activity, communication, support structures.</w:t>
            </w:r>
          </w:p>
          <w:p w14:paraId="3A7B1915" w14:textId="77777777" w:rsidR="002D4D94" w:rsidRPr="008F480E" w:rsidRDefault="002D4D94" w:rsidP="003041FD">
            <w:pPr>
              <w:spacing w:before="120" w:after="120"/>
              <w:rPr>
                <w:rFonts w:asciiTheme="minorHAnsi" w:hAnsiTheme="minorHAnsi"/>
                <w:color w:val="auto"/>
                <w:lang w:val="en-GB"/>
              </w:rPr>
            </w:pPr>
            <w:r w:rsidRPr="008F480E">
              <w:rPr>
                <w:rFonts w:asciiTheme="minorHAnsi" w:hAnsiTheme="minorHAnsi"/>
                <w:color w:val="auto"/>
                <w:lang w:val="en-GB"/>
              </w:rPr>
              <w:t>Report notes that elements that support the Community of Schools and Services (COSS) ecosystem of support services:</w:t>
            </w:r>
          </w:p>
          <w:p w14:paraId="1F7E1272" w14:textId="29C06EEF"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 xml:space="preserve">evidence-based models of support; </w:t>
            </w:r>
          </w:p>
          <w:p w14:paraId="429674C2" w14:textId="566C9114"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 xml:space="preserve">workforce development; </w:t>
            </w:r>
          </w:p>
          <w:p w14:paraId="210A0C0C" w14:textId="1E068655"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 xml:space="preserve">new structures and processes of collective governance; </w:t>
            </w:r>
          </w:p>
          <w:p w14:paraId="197CEC79" w14:textId="7B5C2B17"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 xml:space="preserve">infrastructure such as youth housing options; </w:t>
            </w:r>
          </w:p>
          <w:p w14:paraId="688895B4" w14:textId="19EE04BF"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lastRenderedPageBreak/>
              <w:t xml:space="preserve">digital capability to support a more complex cross-sectoral ecosystem in which services are connected as collaborating participants in the community collective. </w:t>
            </w:r>
          </w:p>
          <w:p w14:paraId="76EC43CA" w14:textId="68D8D16A" w:rsidR="002D4D94" w:rsidRPr="008F480E" w:rsidRDefault="002D4D94" w:rsidP="003041FD">
            <w:pPr>
              <w:spacing w:before="120" w:after="120"/>
              <w:rPr>
                <w:rFonts w:asciiTheme="minorHAnsi" w:hAnsiTheme="minorHAnsi"/>
                <w:color w:val="auto"/>
                <w:lang w:val="en-GB"/>
              </w:rPr>
            </w:pPr>
            <w:r w:rsidRPr="008F480E">
              <w:rPr>
                <w:rFonts w:asciiTheme="minorHAnsi" w:hAnsiTheme="minorHAnsi"/>
                <w:color w:val="auto"/>
                <w:lang w:val="en-GB"/>
              </w:rPr>
              <w:t>Youth Entry Points: Simplify contact with support services for young people through regional and sub-regional Youth Entry Points</w:t>
            </w:r>
            <w:r w:rsidR="008D4171">
              <w:rPr>
                <w:rFonts w:asciiTheme="minorHAnsi" w:hAnsiTheme="minorHAnsi"/>
                <w:color w:val="auto"/>
                <w:lang w:val="en-GB"/>
              </w:rPr>
              <w:t>.</w:t>
            </w:r>
          </w:p>
          <w:p w14:paraId="60F1A653"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lang w:val="en-GB"/>
              </w:rPr>
              <w:t>Commitment to build cultural safety in all organisations and investing in developing Aboriginal workers to build capacity in Aboriginal services.</w:t>
            </w:r>
          </w:p>
        </w:tc>
      </w:tr>
      <w:tr w:rsidR="002D4D94" w:rsidRPr="008F480E" w14:paraId="4A4F2D55" w14:textId="77777777" w:rsidTr="00425036">
        <w:trPr>
          <w:trHeight w:val="1134"/>
        </w:trPr>
        <w:tc>
          <w:tcPr>
            <w:tcW w:w="2547" w:type="dxa"/>
          </w:tcPr>
          <w:p w14:paraId="5639A570" w14:textId="5B38E2BC" w:rsidR="00803B8F" w:rsidRPr="008F480E" w:rsidRDefault="002D4D94" w:rsidP="003041FD">
            <w:pPr>
              <w:spacing w:before="120" w:after="120"/>
              <w:rPr>
                <w:rFonts w:asciiTheme="minorHAnsi" w:hAnsiTheme="minorHAnsi"/>
                <w:i/>
                <w:iCs/>
                <w:color w:val="auto"/>
              </w:rPr>
            </w:pPr>
            <w:r w:rsidRPr="008F480E">
              <w:rPr>
                <w:rFonts w:asciiTheme="minorHAnsi" w:hAnsiTheme="minorHAnsi"/>
                <w:i/>
                <w:iCs/>
                <w:color w:val="auto"/>
              </w:rPr>
              <w:lastRenderedPageBreak/>
              <w:t xml:space="preserve">GALFA LGBTI Homelessness Research Project: Stage 1 Report: LGBTI Homelessness: Preliminary findings on risks, service needs and use </w:t>
            </w:r>
          </w:p>
          <w:p w14:paraId="15D1E24F" w14:textId="169466D5" w:rsidR="002D4D94" w:rsidRPr="008F480E" w:rsidRDefault="00803B8F" w:rsidP="003041FD">
            <w:pPr>
              <w:spacing w:before="120" w:after="120"/>
              <w:rPr>
                <w:rFonts w:asciiTheme="minorHAnsi" w:hAnsiTheme="minorHAnsi"/>
                <w:color w:val="auto"/>
              </w:rPr>
            </w:pPr>
            <w:r w:rsidRPr="008F480E">
              <w:rPr>
                <w:rFonts w:asciiTheme="minorHAnsi" w:hAnsiTheme="minorHAnsi"/>
                <w:color w:val="auto"/>
              </w:rPr>
              <w:t>McNair et al,</w:t>
            </w:r>
          </w:p>
        </w:tc>
        <w:tc>
          <w:tcPr>
            <w:tcW w:w="7371" w:type="dxa"/>
          </w:tcPr>
          <w:p w14:paraId="2FE39EC8"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Report on prevalence and risk of homelessness for young LGBTIQA+ people. Identifies previous studies and research on experiences and issues for this cohort.</w:t>
            </w:r>
          </w:p>
        </w:tc>
      </w:tr>
      <w:tr w:rsidR="002D4D94" w:rsidRPr="008F480E" w14:paraId="471EDFDE" w14:textId="77777777" w:rsidTr="00425036">
        <w:trPr>
          <w:trHeight w:val="552"/>
        </w:trPr>
        <w:tc>
          <w:tcPr>
            <w:tcW w:w="2547" w:type="dxa"/>
          </w:tcPr>
          <w:p w14:paraId="19BCE006" w14:textId="08B15159" w:rsidR="006C01A6" w:rsidRPr="008F480E" w:rsidRDefault="002D4D94" w:rsidP="003041FD">
            <w:pPr>
              <w:spacing w:before="120" w:after="120"/>
              <w:rPr>
                <w:rFonts w:asciiTheme="minorHAnsi" w:hAnsiTheme="minorHAnsi"/>
                <w:color w:val="auto"/>
              </w:rPr>
            </w:pPr>
            <w:r w:rsidRPr="008F480E">
              <w:rPr>
                <w:rFonts w:asciiTheme="minorHAnsi" w:hAnsiTheme="minorHAnsi"/>
                <w:color w:val="auto"/>
              </w:rPr>
              <w:t>‘</w:t>
            </w:r>
            <w:r w:rsidRPr="008F480E">
              <w:rPr>
                <w:rFonts w:asciiTheme="minorHAnsi" w:hAnsiTheme="minorHAnsi"/>
                <w:i/>
                <w:iCs/>
                <w:color w:val="auto"/>
              </w:rPr>
              <w:t>Interventions for Youth Homelessness: A Systematic Review of Effectiveness Studies’.</w:t>
            </w:r>
            <w:r w:rsidRPr="008F480E">
              <w:rPr>
                <w:rFonts w:asciiTheme="minorHAnsi" w:hAnsiTheme="minorHAnsi"/>
                <w:color w:val="auto"/>
              </w:rPr>
              <w:t xml:space="preserve"> Children and Youth Services Review 116 (September</w:t>
            </w:r>
            <w:r w:rsidR="006C01A6" w:rsidRPr="008F480E">
              <w:rPr>
                <w:rFonts w:asciiTheme="minorHAnsi" w:hAnsiTheme="minorHAnsi"/>
                <w:color w:val="auto"/>
              </w:rPr>
              <w:t>)</w:t>
            </w:r>
            <w:r w:rsidR="00803B8F" w:rsidRPr="008F480E">
              <w:rPr>
                <w:rFonts w:asciiTheme="minorHAnsi" w:hAnsiTheme="minorHAnsi"/>
                <w:color w:val="auto"/>
              </w:rPr>
              <w:t xml:space="preserve"> </w:t>
            </w:r>
          </w:p>
          <w:p w14:paraId="5A8AE514" w14:textId="0247DB83" w:rsidR="002D4D94" w:rsidRPr="008F480E" w:rsidRDefault="00803B8F" w:rsidP="003041FD">
            <w:pPr>
              <w:spacing w:before="120" w:after="120"/>
              <w:rPr>
                <w:rFonts w:asciiTheme="minorHAnsi" w:hAnsiTheme="minorHAnsi"/>
                <w:color w:val="auto"/>
              </w:rPr>
            </w:pPr>
            <w:r w:rsidRPr="008F480E">
              <w:rPr>
                <w:rFonts w:asciiTheme="minorHAnsi" w:hAnsiTheme="minorHAnsi"/>
                <w:color w:val="auto"/>
              </w:rPr>
              <w:t>Morton, M et al (2020)</w:t>
            </w:r>
          </w:p>
        </w:tc>
        <w:tc>
          <w:tcPr>
            <w:tcW w:w="7371" w:type="dxa"/>
          </w:tcPr>
          <w:p w14:paraId="7BF23161" w14:textId="77777777" w:rsidR="00B57CCE" w:rsidRPr="008F480E" w:rsidRDefault="00782442" w:rsidP="003041FD">
            <w:pPr>
              <w:spacing w:before="120" w:after="120"/>
              <w:rPr>
                <w:rFonts w:asciiTheme="minorHAnsi" w:hAnsiTheme="minorHAnsi"/>
                <w:color w:val="1F1F1F"/>
              </w:rPr>
            </w:pPr>
            <w:r w:rsidRPr="008F480E">
              <w:rPr>
                <w:rFonts w:asciiTheme="minorHAnsi" w:hAnsiTheme="minorHAnsi"/>
                <w:color w:val="1F1F1F"/>
              </w:rPr>
              <w:t>There is a lack of rigorous evaluation but</w:t>
            </w:r>
            <w:r w:rsidR="00B57CCE" w:rsidRPr="008F480E">
              <w:rPr>
                <w:rFonts w:asciiTheme="minorHAnsi" w:hAnsiTheme="minorHAnsi"/>
                <w:color w:val="1F1F1F"/>
              </w:rPr>
              <w:t xml:space="preserve"> p</w:t>
            </w:r>
            <w:r w:rsidR="00455CD8" w:rsidRPr="008F480E">
              <w:rPr>
                <w:rFonts w:asciiTheme="minorHAnsi" w:hAnsiTheme="minorHAnsi"/>
                <w:color w:val="1F1F1F"/>
              </w:rPr>
              <w:t xml:space="preserve">revention </w:t>
            </w:r>
            <w:r w:rsidR="00B57CCE" w:rsidRPr="008F480E">
              <w:rPr>
                <w:rFonts w:asciiTheme="minorHAnsi" w:hAnsiTheme="minorHAnsi"/>
                <w:color w:val="1F1F1F"/>
              </w:rPr>
              <w:t xml:space="preserve">programs showed promise: </w:t>
            </w:r>
          </w:p>
          <w:p w14:paraId="148238FA" w14:textId="400431AB" w:rsidR="002D4D94" w:rsidRPr="008F480E" w:rsidRDefault="00B47D35" w:rsidP="00B13429">
            <w:pPr>
              <w:pStyle w:val="ListParagraph"/>
              <w:numPr>
                <w:ilvl w:val="0"/>
                <w:numId w:val="49"/>
              </w:numPr>
              <w:spacing w:before="120" w:after="120"/>
              <w:contextualSpacing w:val="0"/>
              <w:rPr>
                <w:rFonts w:asciiTheme="minorHAnsi" w:hAnsiTheme="minorHAnsi"/>
                <w:color w:val="1F1F1F"/>
              </w:rPr>
            </w:pPr>
            <w:r w:rsidRPr="008F480E">
              <w:rPr>
                <w:rFonts w:asciiTheme="minorHAnsi" w:hAnsiTheme="minorHAnsi"/>
                <w:color w:val="auto"/>
                <w:lang w:val="en-GB"/>
              </w:rPr>
              <w:t>YVLifeSet, an intensive case management with supportive services program for youth who transitioned out of </w:t>
            </w:r>
            <w:hyperlink r:id="rId24" w:tooltip="Learn more about juvenile justice from ScienceDirect's AI-generated Topic Pages" w:history="1">
              <w:r w:rsidRPr="008F480E">
                <w:rPr>
                  <w:rFonts w:asciiTheme="minorHAnsi" w:hAnsiTheme="minorHAnsi"/>
                  <w:color w:val="auto"/>
                  <w:lang w:val="en-GB"/>
                </w:rPr>
                <w:t>juvenile justice</w:t>
              </w:r>
            </w:hyperlink>
            <w:r w:rsidRPr="008F480E">
              <w:rPr>
                <w:rFonts w:asciiTheme="minorHAnsi" w:hAnsiTheme="minorHAnsi"/>
                <w:color w:val="auto"/>
                <w:lang w:val="en-GB"/>
              </w:rPr>
              <w:t> or foster care - relative to the control group, the intervention group had lower rates of experiencing homelessness, as well as improvements in other outcomes.</w:t>
            </w:r>
            <w:r w:rsidRPr="008F480E">
              <w:rPr>
                <w:rFonts w:asciiTheme="minorHAnsi" w:hAnsiTheme="minorHAnsi"/>
                <w:color w:val="1F1F1F"/>
              </w:rPr>
              <w:t> </w:t>
            </w:r>
          </w:p>
          <w:p w14:paraId="34E6AB79" w14:textId="3D11813F" w:rsidR="00EE7C8D" w:rsidRPr="008F480E" w:rsidRDefault="00EE7C8D" w:rsidP="00B13429">
            <w:pPr>
              <w:pStyle w:val="ListParagraph"/>
              <w:numPr>
                <w:ilvl w:val="0"/>
                <w:numId w:val="49"/>
              </w:numPr>
              <w:spacing w:before="120" w:after="120"/>
              <w:contextualSpacing w:val="0"/>
              <w:rPr>
                <w:rFonts w:asciiTheme="minorHAnsi" w:hAnsiTheme="minorHAnsi"/>
                <w:color w:val="auto"/>
                <w:lang w:val="en-GB"/>
              </w:rPr>
            </w:pPr>
            <w:r w:rsidRPr="008F480E">
              <w:rPr>
                <w:rFonts w:asciiTheme="minorHAnsi" w:hAnsiTheme="minorHAnsi"/>
                <w:color w:val="auto"/>
                <w:lang w:val="en-GB"/>
              </w:rPr>
              <w:t xml:space="preserve">The </w:t>
            </w:r>
            <w:r w:rsidR="00344850" w:rsidRPr="008F480E">
              <w:rPr>
                <w:rFonts w:asciiTheme="minorHAnsi" w:hAnsiTheme="minorHAnsi"/>
                <w:color w:val="auto"/>
                <w:lang w:val="en-GB"/>
              </w:rPr>
              <w:t>Behaviour</w:t>
            </w:r>
            <w:r w:rsidRPr="008F480E">
              <w:rPr>
                <w:rFonts w:asciiTheme="minorHAnsi" w:hAnsiTheme="minorHAnsi"/>
                <w:color w:val="auto"/>
                <w:lang w:val="en-GB"/>
              </w:rPr>
              <w:t xml:space="preserve"> Analysis Services Program (BASP) evaluation showed positive changes in housing stability, the only outcome reported. </w:t>
            </w:r>
          </w:p>
          <w:p w14:paraId="6E8496AB" w14:textId="77777777" w:rsidR="00EE7C8D" w:rsidRPr="008F480E" w:rsidRDefault="00EE7C8D" w:rsidP="00B13429">
            <w:pPr>
              <w:pStyle w:val="ListParagraph"/>
              <w:numPr>
                <w:ilvl w:val="0"/>
                <w:numId w:val="49"/>
              </w:numPr>
              <w:spacing w:before="120" w:after="120"/>
              <w:contextualSpacing w:val="0"/>
              <w:rPr>
                <w:rFonts w:asciiTheme="minorHAnsi" w:hAnsiTheme="minorHAnsi"/>
              </w:rPr>
            </w:pPr>
            <w:r w:rsidRPr="008F480E">
              <w:rPr>
                <w:rFonts w:asciiTheme="minorHAnsi" w:hAnsiTheme="minorHAnsi"/>
                <w:color w:val="auto"/>
                <w:lang w:val="en-GB"/>
              </w:rPr>
              <w:t xml:space="preserve">The Geelong Project (TGP), a coordinated homelessness prevention model among schools and community organizations involving universal screening for student risk for homelessness and tailored case management and reported reductions in the number of students entering the local homelessness system based on administrative data. </w:t>
            </w:r>
            <w:r w:rsidR="002A7FC6" w:rsidRPr="008F480E">
              <w:rPr>
                <w:rFonts w:asciiTheme="minorHAnsi" w:hAnsiTheme="minorHAnsi"/>
                <w:color w:val="auto"/>
                <w:lang w:val="en-GB"/>
              </w:rPr>
              <w:t>But f</w:t>
            </w:r>
            <w:r w:rsidRPr="008F480E">
              <w:rPr>
                <w:rFonts w:asciiTheme="minorHAnsi" w:hAnsiTheme="minorHAnsi"/>
                <w:color w:val="auto"/>
                <w:lang w:val="en-GB"/>
              </w:rPr>
              <w:t>urther evaluations including a prospective comparison group are needed to confirm that the observed effects on student homelessness are due to TGP and not the result of other conditions or changes.</w:t>
            </w:r>
          </w:p>
          <w:p w14:paraId="4C7323AA" w14:textId="77777777" w:rsidR="00455CD8" w:rsidRPr="008F480E" w:rsidRDefault="00D02660" w:rsidP="003041FD">
            <w:pPr>
              <w:spacing w:before="120" w:after="120"/>
              <w:rPr>
                <w:rFonts w:asciiTheme="minorHAnsi" w:hAnsiTheme="minorHAnsi"/>
                <w:color w:val="1F1F1F"/>
              </w:rPr>
            </w:pPr>
            <w:r w:rsidRPr="008F480E">
              <w:rPr>
                <w:rFonts w:asciiTheme="minorHAnsi" w:hAnsiTheme="minorHAnsi"/>
                <w:color w:val="1F1F1F"/>
              </w:rPr>
              <w:t>Family strengthening programs:</w:t>
            </w:r>
          </w:p>
          <w:p w14:paraId="3AA00C83" w14:textId="5121410E" w:rsidR="00D02660" w:rsidRPr="008F480E" w:rsidRDefault="00D02660" w:rsidP="00B13429">
            <w:pPr>
              <w:pStyle w:val="ListParagraph"/>
              <w:numPr>
                <w:ilvl w:val="0"/>
                <w:numId w:val="49"/>
              </w:numPr>
              <w:spacing w:before="120" w:after="120"/>
              <w:contextualSpacing w:val="0"/>
              <w:rPr>
                <w:rFonts w:asciiTheme="minorHAnsi" w:hAnsiTheme="minorHAnsi"/>
              </w:rPr>
            </w:pPr>
            <w:r w:rsidRPr="008F480E">
              <w:rPr>
                <w:rFonts w:asciiTheme="minorHAnsi" w:hAnsiTheme="minorHAnsi"/>
                <w:color w:val="auto"/>
                <w:lang w:val="en-GB"/>
              </w:rPr>
              <w:t xml:space="preserve">Studies generally showed promising results for outcomes related to youth well-being and </w:t>
            </w:r>
            <w:r w:rsidR="00344850" w:rsidRPr="008F480E">
              <w:rPr>
                <w:rFonts w:asciiTheme="minorHAnsi" w:hAnsiTheme="minorHAnsi"/>
                <w:color w:val="auto"/>
                <w:lang w:val="en-GB"/>
              </w:rPr>
              <w:t>behavioural</w:t>
            </w:r>
            <w:r w:rsidRPr="008F480E">
              <w:rPr>
                <w:rFonts w:asciiTheme="minorHAnsi" w:hAnsiTheme="minorHAnsi"/>
                <w:color w:val="auto"/>
                <w:lang w:val="en-GB"/>
              </w:rPr>
              <w:t xml:space="preserve"> health, but little is known about direct effects of these interventions on preventing or reducing youth homelessness.</w:t>
            </w:r>
          </w:p>
          <w:p w14:paraId="6315AF66" w14:textId="48CEFB67" w:rsidR="00782442" w:rsidRPr="008F480E" w:rsidRDefault="00782442" w:rsidP="003041FD">
            <w:pPr>
              <w:spacing w:before="120" w:after="120"/>
              <w:rPr>
                <w:rFonts w:asciiTheme="minorHAnsi" w:hAnsiTheme="minorHAnsi"/>
                <w:color w:val="auto"/>
              </w:rPr>
            </w:pPr>
            <w:r w:rsidRPr="008F480E">
              <w:rPr>
                <w:rFonts w:asciiTheme="minorHAnsi" w:hAnsiTheme="minorHAnsi"/>
                <w:color w:val="auto"/>
              </w:rPr>
              <w:t>Housing:</w:t>
            </w:r>
          </w:p>
          <w:p w14:paraId="1D8309E2" w14:textId="39C129B1" w:rsidR="001A593B" w:rsidRPr="008F480E" w:rsidRDefault="00344850" w:rsidP="00B13429">
            <w:pPr>
              <w:pStyle w:val="BodyText"/>
              <w:numPr>
                <w:ilvl w:val="0"/>
                <w:numId w:val="49"/>
              </w:numPr>
              <w:rPr>
                <w:color w:val="auto"/>
                <w:sz w:val="20"/>
                <w:szCs w:val="20"/>
              </w:rPr>
            </w:pPr>
            <w:r>
              <w:rPr>
                <w:color w:val="auto"/>
                <w:sz w:val="20"/>
                <w:szCs w:val="20"/>
              </w:rPr>
              <w:t>R</w:t>
            </w:r>
            <w:r w:rsidR="00782442" w:rsidRPr="008F480E">
              <w:rPr>
                <w:color w:val="auto"/>
                <w:sz w:val="20"/>
                <w:szCs w:val="20"/>
              </w:rPr>
              <w:t>igorous and long-term evaluation of shelter and housing programs for improving young people’s housing stability</w:t>
            </w:r>
            <w:r w:rsidR="00FD6A89" w:rsidRPr="008F480E">
              <w:rPr>
                <w:color w:val="auto"/>
                <w:sz w:val="20"/>
                <w:szCs w:val="20"/>
              </w:rPr>
              <w:t>…</w:t>
            </w:r>
            <w:r w:rsidR="00782442" w:rsidRPr="008F480E">
              <w:rPr>
                <w:color w:val="auto"/>
                <w:sz w:val="20"/>
                <w:szCs w:val="20"/>
              </w:rPr>
              <w:t>is lacking. Experimental evaluation of a rental assistance and support program and quasi-experimental evaluations of supportive housing programs show promising results for improving housing stability. Low-rigor evaluations of transitional housing programs also reported promising results for various outcomes, but high attrition rates and a lack of comparison group warrant higher degrees of caution with interpretation</w:t>
            </w:r>
            <w:r>
              <w:rPr>
                <w:color w:val="auto"/>
                <w:sz w:val="20"/>
                <w:szCs w:val="20"/>
              </w:rPr>
              <w:t>.</w:t>
            </w:r>
          </w:p>
        </w:tc>
      </w:tr>
      <w:tr w:rsidR="002D4D94" w:rsidRPr="008F480E" w14:paraId="365DE5A2" w14:textId="77777777" w:rsidTr="00425036">
        <w:trPr>
          <w:trHeight w:val="971"/>
        </w:trPr>
        <w:tc>
          <w:tcPr>
            <w:tcW w:w="2547" w:type="dxa"/>
          </w:tcPr>
          <w:p w14:paraId="067F2D68" w14:textId="77777777" w:rsidR="002D4D94" w:rsidRPr="008F480E" w:rsidRDefault="002D4D94" w:rsidP="003041FD">
            <w:pPr>
              <w:spacing w:before="120" w:after="120"/>
              <w:rPr>
                <w:rFonts w:asciiTheme="minorHAnsi" w:hAnsiTheme="minorHAnsi"/>
                <w:i/>
                <w:iCs/>
                <w:color w:val="auto"/>
                <w:lang w:val="en-GB"/>
              </w:rPr>
            </w:pPr>
            <w:r w:rsidRPr="008F480E">
              <w:rPr>
                <w:rFonts w:asciiTheme="minorHAnsi" w:hAnsiTheme="minorHAnsi"/>
                <w:i/>
                <w:iCs/>
                <w:color w:val="auto"/>
                <w:lang w:val="en-GB"/>
              </w:rPr>
              <w:t>Mounty Yarns, Lived Experience of Aboriginal young people in Mount Druitt</w:t>
            </w:r>
          </w:p>
        </w:tc>
        <w:tc>
          <w:tcPr>
            <w:tcW w:w="7371" w:type="dxa"/>
          </w:tcPr>
          <w:p w14:paraId="57FD9585"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Powerful report on the lived experience of young Aboriginal people in Mount Druitt outlining engagement and experiences with education, police and housing services. Highlights key areas and approaches to improve safety and supports.</w:t>
            </w:r>
          </w:p>
        </w:tc>
      </w:tr>
      <w:tr w:rsidR="002D4D94" w:rsidRPr="008F480E" w14:paraId="49B3B5D3" w14:textId="77777777" w:rsidTr="00425036">
        <w:trPr>
          <w:trHeight w:val="907"/>
        </w:trPr>
        <w:tc>
          <w:tcPr>
            <w:tcW w:w="2547" w:type="dxa"/>
          </w:tcPr>
          <w:p w14:paraId="4B3F5B48" w14:textId="158A8965" w:rsidR="002D4D94" w:rsidRPr="008F480E" w:rsidRDefault="00000000" w:rsidP="003041FD">
            <w:pPr>
              <w:spacing w:before="120" w:after="120"/>
              <w:rPr>
                <w:rFonts w:asciiTheme="minorHAnsi" w:hAnsiTheme="minorHAnsi"/>
                <w:color w:val="auto"/>
              </w:rPr>
            </w:pPr>
            <w:hyperlink r:id="rId25" w:history="1">
              <w:r w:rsidR="002D4D94" w:rsidRPr="008F480E">
                <w:rPr>
                  <w:rStyle w:val="Hyperlink"/>
                  <w:rFonts w:asciiTheme="minorHAnsi" w:hAnsiTheme="minorHAnsi"/>
                  <w:i/>
                  <w:iCs/>
                  <w:color w:val="auto"/>
                  <w:lang w:val="en-GB"/>
                </w:rPr>
                <w:t xml:space="preserve">A new model for youth housing in Australia, </w:t>
              </w:r>
              <w:r w:rsidR="002D4D94" w:rsidRPr="008F480E">
                <w:rPr>
                  <w:rStyle w:val="Hyperlink"/>
                  <w:rFonts w:asciiTheme="minorHAnsi" w:hAnsiTheme="minorHAnsi"/>
                  <w:color w:val="auto"/>
                  <w:lang w:val="en-GB"/>
                </w:rPr>
                <w:t xml:space="preserve">September 2023, </w:t>
              </w:r>
              <w:r w:rsidR="005D1333" w:rsidRPr="008F480E">
                <w:rPr>
                  <w:rStyle w:val="Hyperlink"/>
                  <w:rFonts w:asciiTheme="minorHAnsi" w:hAnsiTheme="minorHAnsi"/>
                  <w:color w:val="auto"/>
                  <w:lang w:val="en-GB"/>
                </w:rPr>
                <w:t xml:space="preserve">Nous, </w:t>
              </w:r>
              <w:r w:rsidR="002D4D94" w:rsidRPr="008F480E">
                <w:rPr>
                  <w:rStyle w:val="Hyperlink"/>
                  <w:rFonts w:asciiTheme="minorHAnsi" w:hAnsiTheme="minorHAnsi"/>
                  <w:color w:val="auto"/>
                  <w:lang w:val="en-GB"/>
                </w:rPr>
                <w:t>Melbourne City Mission</w:t>
              </w:r>
            </w:hyperlink>
          </w:p>
        </w:tc>
        <w:tc>
          <w:tcPr>
            <w:tcW w:w="7371" w:type="dxa"/>
          </w:tcPr>
          <w:p w14:paraId="589DB46B" w14:textId="5D5FF2CC"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 xml:space="preserve">Framework developed by </w:t>
            </w:r>
            <w:r w:rsidR="00344850" w:rsidRPr="008F480E">
              <w:rPr>
                <w:rFonts w:asciiTheme="minorHAnsi" w:hAnsiTheme="minorHAnsi"/>
                <w:color w:val="auto"/>
              </w:rPr>
              <w:t>not-for-profit</w:t>
            </w:r>
            <w:r w:rsidRPr="008F480E">
              <w:rPr>
                <w:rFonts w:asciiTheme="minorHAnsi" w:hAnsiTheme="minorHAnsi"/>
                <w:color w:val="auto"/>
              </w:rPr>
              <w:t xml:space="preserve"> stakeholders from across Australia.</w:t>
            </w:r>
          </w:p>
          <w:p w14:paraId="351F4FDA"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Model prioritises elements:</w:t>
            </w:r>
          </w:p>
          <w:p w14:paraId="0D473604"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lang w:val="en-GB"/>
              </w:rPr>
              <w:t>Provision</w:t>
            </w:r>
            <w:r w:rsidRPr="008F480E">
              <w:rPr>
                <w:color w:val="auto"/>
                <w:sz w:val="20"/>
              </w:rPr>
              <w:t xml:space="preserve"> of housing</w:t>
            </w:r>
          </w:p>
          <w:p w14:paraId="7FEFE66E"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lang w:val="en-GB"/>
              </w:rPr>
              <w:t>Services</w:t>
            </w:r>
            <w:r w:rsidRPr="008F480E">
              <w:rPr>
                <w:color w:val="auto"/>
                <w:sz w:val="20"/>
              </w:rPr>
              <w:t xml:space="preserve"> and support</w:t>
            </w:r>
          </w:p>
          <w:p w14:paraId="316805E5"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lang w:val="en-GB"/>
              </w:rPr>
              <w:t>Subsidies</w:t>
            </w:r>
            <w:r w:rsidRPr="008F480E">
              <w:rPr>
                <w:color w:val="auto"/>
                <w:sz w:val="20"/>
              </w:rPr>
              <w:t xml:space="preserve"> for viability</w:t>
            </w:r>
          </w:p>
          <w:p w14:paraId="7EB6E673" w14:textId="77777777" w:rsidR="002D4D94" w:rsidRPr="008F480E" w:rsidRDefault="002D4D94" w:rsidP="003041FD">
            <w:pPr>
              <w:pStyle w:val="ListBullet"/>
              <w:numPr>
                <w:ilvl w:val="0"/>
                <w:numId w:val="0"/>
              </w:numPr>
              <w:rPr>
                <w:color w:val="auto"/>
                <w:sz w:val="20"/>
              </w:rPr>
            </w:pPr>
            <w:r w:rsidRPr="008F480E">
              <w:rPr>
                <w:color w:val="auto"/>
                <w:sz w:val="20"/>
              </w:rPr>
              <w:t>The Framework notes the importance of support following a young person, that follows the young person to provide stable support through transitions, pulling in integrated care as needed.</w:t>
            </w:r>
          </w:p>
        </w:tc>
      </w:tr>
      <w:tr w:rsidR="002D4D94" w:rsidRPr="008F480E" w14:paraId="76D683C2" w14:textId="77777777" w:rsidTr="00425036">
        <w:trPr>
          <w:trHeight w:val="1134"/>
        </w:trPr>
        <w:tc>
          <w:tcPr>
            <w:tcW w:w="2547" w:type="dxa"/>
          </w:tcPr>
          <w:p w14:paraId="0E5336CC" w14:textId="77777777" w:rsidR="002D4D94" w:rsidRPr="008F480E" w:rsidRDefault="00000000" w:rsidP="003041FD">
            <w:pPr>
              <w:spacing w:before="120" w:after="120"/>
              <w:rPr>
                <w:rFonts w:asciiTheme="minorHAnsi" w:hAnsiTheme="minorHAnsi"/>
                <w:color w:val="auto"/>
              </w:rPr>
            </w:pPr>
            <w:hyperlink r:id="rId26" w:history="1">
              <w:r w:rsidR="002D4D94" w:rsidRPr="008F480E">
                <w:rPr>
                  <w:rStyle w:val="Hyperlink"/>
                  <w:rFonts w:asciiTheme="minorHAnsi" w:hAnsiTheme="minorHAnsi"/>
                  <w:i/>
                  <w:iCs/>
                  <w:color w:val="auto"/>
                </w:rPr>
                <w:t>Lighthouse Model of Care -</w:t>
              </w:r>
              <w:r w:rsidR="002D4D94" w:rsidRPr="008F480E">
                <w:rPr>
                  <w:rStyle w:val="Hyperlink"/>
                  <w:rFonts w:asciiTheme="minorHAnsi" w:hAnsiTheme="minorHAnsi"/>
                  <w:color w:val="auto"/>
                </w:rPr>
                <w:t xml:space="preserve"> Lighthouse Foundation</w:t>
              </w:r>
            </w:hyperlink>
          </w:p>
          <w:p w14:paraId="2969ED1A" w14:textId="77777777" w:rsidR="002D4D94" w:rsidRPr="008F480E" w:rsidRDefault="002D4D94" w:rsidP="003041FD">
            <w:pPr>
              <w:spacing w:before="120" w:after="120"/>
              <w:rPr>
                <w:rFonts w:asciiTheme="minorHAnsi" w:hAnsiTheme="minorHAnsi"/>
                <w:color w:val="auto"/>
              </w:rPr>
            </w:pPr>
          </w:p>
        </w:tc>
        <w:tc>
          <w:tcPr>
            <w:tcW w:w="7371" w:type="dxa"/>
          </w:tcPr>
          <w:p w14:paraId="3357D040" w14:textId="77777777" w:rsidR="00230F4A" w:rsidRPr="008F480E" w:rsidRDefault="002D4D94" w:rsidP="003041FD">
            <w:pPr>
              <w:spacing w:before="120" w:after="120"/>
              <w:rPr>
                <w:rFonts w:asciiTheme="minorHAnsi" w:hAnsiTheme="minorHAnsi"/>
                <w:color w:val="auto"/>
              </w:rPr>
            </w:pPr>
            <w:r w:rsidRPr="008F480E">
              <w:rPr>
                <w:rFonts w:asciiTheme="minorHAnsi" w:hAnsiTheme="minorHAnsi"/>
                <w:color w:val="auto"/>
              </w:rPr>
              <w:t xml:space="preserve">Lighthouse Foundation is Victorian, is a treatment approach that “sees, recognises, and responds to…complex features in young people.” </w:t>
            </w:r>
          </w:p>
          <w:p w14:paraId="5FB9D2BD" w14:textId="23367627" w:rsidR="002D4D94" w:rsidRPr="008F480E" w:rsidRDefault="002D4D94" w:rsidP="003041FD">
            <w:pPr>
              <w:spacing w:before="120" w:after="120"/>
              <w:rPr>
                <w:rFonts w:asciiTheme="minorHAnsi" w:hAnsiTheme="minorHAnsi"/>
                <w:color w:val="auto"/>
                <w:kern w:val="24"/>
                <w:lang w:val="en-GB"/>
              </w:rPr>
            </w:pPr>
            <w:r w:rsidRPr="008F480E">
              <w:rPr>
                <w:rFonts w:asciiTheme="minorHAnsi" w:hAnsiTheme="minorHAnsi"/>
                <w:color w:val="auto"/>
              </w:rPr>
              <w:t>The Lighthouse Model of Care (LMC) integrates trauma-informed practice, attachment theory and contemporary psychoanalytical theory to create a holistic therapeutic treatment environment in which the social and emotional capacities of young people…are developed and enriched.</w:t>
            </w:r>
          </w:p>
        </w:tc>
      </w:tr>
      <w:tr w:rsidR="002D4D94" w:rsidRPr="008F480E" w14:paraId="572B3AAE" w14:textId="77777777" w:rsidTr="00425036">
        <w:trPr>
          <w:trHeight w:val="1134"/>
        </w:trPr>
        <w:tc>
          <w:tcPr>
            <w:tcW w:w="2547" w:type="dxa"/>
          </w:tcPr>
          <w:p w14:paraId="1E89A749" w14:textId="77777777" w:rsidR="002D4D94" w:rsidRPr="008F480E" w:rsidRDefault="00000000" w:rsidP="003041FD">
            <w:pPr>
              <w:spacing w:before="120" w:after="120"/>
              <w:rPr>
                <w:rFonts w:asciiTheme="minorHAnsi" w:hAnsiTheme="minorHAnsi"/>
                <w:i/>
                <w:iCs/>
                <w:color w:val="auto"/>
              </w:rPr>
            </w:pPr>
            <w:hyperlink r:id="rId27" w:history="1">
              <w:r w:rsidR="002D4D94" w:rsidRPr="008F480E">
                <w:rPr>
                  <w:rStyle w:val="Hyperlink"/>
                  <w:rFonts w:asciiTheme="minorHAnsi" w:hAnsiTheme="minorHAnsi"/>
                  <w:i/>
                  <w:iCs/>
                  <w:color w:val="auto"/>
                </w:rPr>
                <w:t>Limerick Youth Housing Evaluation</w:t>
              </w:r>
            </w:hyperlink>
          </w:p>
          <w:p w14:paraId="21E34E19" w14:textId="77777777" w:rsidR="002D4D94" w:rsidRPr="008F480E" w:rsidRDefault="002D4D94" w:rsidP="003041FD">
            <w:pPr>
              <w:spacing w:before="120" w:after="120"/>
              <w:rPr>
                <w:rFonts w:asciiTheme="minorHAnsi" w:hAnsiTheme="minorHAnsi"/>
                <w:color w:val="auto"/>
              </w:rPr>
            </w:pPr>
          </w:p>
          <w:p w14:paraId="2837DFDD" w14:textId="77777777" w:rsidR="002D4D94" w:rsidRPr="008F480E" w:rsidRDefault="002D4D94" w:rsidP="003041FD">
            <w:pPr>
              <w:spacing w:before="120" w:after="120"/>
              <w:rPr>
                <w:rFonts w:asciiTheme="minorHAnsi" w:hAnsiTheme="minorHAnsi"/>
                <w:color w:val="auto"/>
              </w:rPr>
            </w:pPr>
          </w:p>
        </w:tc>
        <w:tc>
          <w:tcPr>
            <w:tcW w:w="7371" w:type="dxa"/>
          </w:tcPr>
          <w:p w14:paraId="0293DF68" w14:textId="1AC5BE2E" w:rsidR="002D4D94" w:rsidRPr="008F480E" w:rsidRDefault="002D4D94" w:rsidP="003041FD">
            <w:pPr>
              <w:spacing w:before="120" w:after="120"/>
              <w:rPr>
                <w:rFonts w:asciiTheme="minorHAnsi" w:hAnsiTheme="minorHAnsi"/>
                <w:color w:val="auto"/>
                <w:kern w:val="24"/>
                <w:lang w:val="en-GB"/>
              </w:rPr>
            </w:pPr>
            <w:r w:rsidRPr="008F480E">
              <w:rPr>
                <w:rFonts w:asciiTheme="minorHAnsi" w:hAnsiTheme="minorHAnsi"/>
                <w:color w:val="auto"/>
                <w:kern w:val="24"/>
                <w:lang w:val="en-GB"/>
              </w:rPr>
              <w:t xml:space="preserve">Two notable features of Limerick Youth Housing include: 1. Young people who are homeless or at risk of homelessness are offered stable and secure housing. 2. Local services work collaboratively and in an interagency </w:t>
            </w:r>
            <w:r w:rsidRPr="008F480E">
              <w:rPr>
                <w:rFonts w:asciiTheme="minorHAnsi" w:hAnsiTheme="minorHAnsi"/>
                <w:color w:val="auto"/>
              </w:rPr>
              <w:t>manner</w:t>
            </w:r>
            <w:r w:rsidRPr="008F480E">
              <w:rPr>
                <w:rFonts w:asciiTheme="minorHAnsi" w:hAnsiTheme="minorHAnsi"/>
                <w:color w:val="auto"/>
                <w:kern w:val="24"/>
                <w:lang w:val="en-GB"/>
              </w:rPr>
              <w:t xml:space="preserve"> to ensure that young people receive a range of supports so that they can sustain their tenancies as they transition into adulthood.</w:t>
            </w:r>
          </w:p>
          <w:p w14:paraId="7DEE3C25" w14:textId="77777777" w:rsidR="002D4D94" w:rsidRPr="008F480E" w:rsidRDefault="002D4D94" w:rsidP="003041FD">
            <w:pPr>
              <w:pStyle w:val="ListBullet"/>
              <w:numPr>
                <w:ilvl w:val="0"/>
                <w:numId w:val="0"/>
              </w:numPr>
              <w:ind w:left="360" w:hanging="360"/>
              <w:rPr>
                <w:rFonts w:cs="Calibri"/>
                <w:color w:val="auto"/>
                <w:kern w:val="24"/>
                <w:sz w:val="20"/>
                <w:lang w:val="en-GB"/>
              </w:rPr>
            </w:pPr>
            <w:r w:rsidRPr="008F480E">
              <w:rPr>
                <w:rFonts w:cs="Calibri"/>
                <w:color w:val="auto"/>
                <w:kern w:val="24"/>
                <w:sz w:val="20"/>
                <w:lang w:val="en-GB"/>
              </w:rPr>
              <w:t>Key initiatives applied in the Irish context include:</w:t>
            </w:r>
          </w:p>
          <w:p w14:paraId="37864D75" w14:textId="60E6CB83" w:rsidR="002D4D94" w:rsidRPr="008F480E" w:rsidRDefault="002D4D94" w:rsidP="003041FD">
            <w:pPr>
              <w:pStyle w:val="ListBullet"/>
              <w:numPr>
                <w:ilvl w:val="0"/>
                <w:numId w:val="1"/>
              </w:numPr>
              <w:tabs>
                <w:tab w:val="clear" w:pos="714"/>
              </w:tabs>
              <w:suppressAutoHyphens w:val="0"/>
              <w:ind w:left="357"/>
              <w:rPr>
                <w:rFonts w:cs="Calibri"/>
                <w:color w:val="auto"/>
                <w:kern w:val="24"/>
                <w:sz w:val="20"/>
                <w:lang w:val="en-GB"/>
              </w:rPr>
            </w:pPr>
            <w:r w:rsidRPr="008F480E">
              <w:rPr>
                <w:color w:val="auto"/>
                <w:sz w:val="20"/>
              </w:rPr>
              <w:t xml:space="preserve">Supports for domestic violence and breakdown: Strengthen supports </w:t>
            </w:r>
            <w:r w:rsidRPr="008F480E">
              <w:rPr>
                <w:color w:val="auto"/>
                <w:sz w:val="20"/>
                <w:lang w:val="en-GB"/>
              </w:rPr>
              <w:t>for</w:t>
            </w:r>
            <w:r w:rsidRPr="008F480E">
              <w:rPr>
                <w:color w:val="auto"/>
                <w:sz w:val="20"/>
              </w:rPr>
              <w:t xml:space="preserve"> young people and families experiencing conflict, violence and/or breakdown. The aim is to take a young person lens to programs</w:t>
            </w:r>
            <w:r w:rsidR="008D4171">
              <w:rPr>
                <w:color w:val="auto"/>
                <w:sz w:val="20"/>
              </w:rPr>
              <w:t>.</w:t>
            </w:r>
          </w:p>
          <w:p w14:paraId="36564F35" w14:textId="111A5209"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 xml:space="preserve">Leaving </w:t>
            </w:r>
            <w:r w:rsidRPr="008F480E">
              <w:rPr>
                <w:color w:val="auto"/>
                <w:sz w:val="20"/>
                <w:lang w:val="en-GB"/>
              </w:rPr>
              <w:t>OOHC</w:t>
            </w:r>
            <w:r w:rsidRPr="008F480E">
              <w:rPr>
                <w:color w:val="auto"/>
                <w:sz w:val="20"/>
              </w:rPr>
              <w:t>: prioritising accommodation access and improved quality</w:t>
            </w:r>
            <w:r w:rsidR="008D4171">
              <w:rPr>
                <w:color w:val="auto"/>
                <w:sz w:val="20"/>
              </w:rPr>
              <w:t>.</w:t>
            </w:r>
          </w:p>
          <w:p w14:paraId="28296598" w14:textId="77777777" w:rsidR="002D4D94" w:rsidRPr="008F480E" w:rsidRDefault="002D4D94" w:rsidP="003041FD">
            <w:pPr>
              <w:pStyle w:val="ListBullet"/>
              <w:numPr>
                <w:ilvl w:val="0"/>
                <w:numId w:val="1"/>
              </w:numPr>
              <w:tabs>
                <w:tab w:val="clear" w:pos="714"/>
              </w:tabs>
              <w:suppressAutoHyphens w:val="0"/>
              <w:ind w:left="357"/>
              <w:rPr>
                <w:rFonts w:cs="Calibri"/>
                <w:color w:val="auto"/>
                <w:kern w:val="24"/>
                <w:sz w:val="20"/>
                <w:lang w:val="en-GB"/>
              </w:rPr>
            </w:pPr>
            <w:r w:rsidRPr="008F480E">
              <w:rPr>
                <w:color w:val="auto"/>
                <w:sz w:val="20"/>
              </w:rPr>
              <w:t>Emergency mental health supports:</w:t>
            </w:r>
            <w:r w:rsidRPr="008F480E">
              <w:rPr>
                <w:color w:val="auto"/>
                <w:sz w:val="20"/>
                <w:lang w:val="en-GB"/>
              </w:rPr>
              <w:t xml:space="preserve"> Urgent access to mental health supports for children and young people entering crisis.</w:t>
            </w:r>
          </w:p>
        </w:tc>
      </w:tr>
      <w:tr w:rsidR="002D4D94" w:rsidRPr="008F480E" w14:paraId="679FB638" w14:textId="77777777" w:rsidTr="00425036">
        <w:tc>
          <w:tcPr>
            <w:tcW w:w="2547" w:type="dxa"/>
          </w:tcPr>
          <w:p w14:paraId="30770379" w14:textId="77777777" w:rsidR="002D4D94" w:rsidRPr="008F480E" w:rsidRDefault="00000000" w:rsidP="003041FD">
            <w:pPr>
              <w:spacing w:before="120" w:after="120"/>
              <w:rPr>
                <w:rFonts w:asciiTheme="minorHAnsi" w:hAnsiTheme="minorHAnsi"/>
                <w:color w:val="auto"/>
              </w:rPr>
            </w:pPr>
            <w:hyperlink r:id="rId28" w:history="1">
              <w:r w:rsidR="002D4D94" w:rsidRPr="008F480E">
                <w:rPr>
                  <w:rStyle w:val="Hyperlink"/>
                  <w:rFonts w:asciiTheme="minorHAnsi" w:hAnsiTheme="minorHAnsi"/>
                  <w:color w:val="auto"/>
                </w:rPr>
                <w:t>Point Source Youth Scales Direct Cash Transfers as Prevention for Youth Homelessness to Five U.S. Cities (prnewswire.com)</w:t>
              </w:r>
            </w:hyperlink>
          </w:p>
          <w:p w14:paraId="60CCFFC3"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A Way Home Washington Oct 2022</w:t>
            </w:r>
          </w:p>
          <w:p w14:paraId="337CCEA2" w14:textId="77777777" w:rsidR="002D4D94" w:rsidRPr="008F480E" w:rsidRDefault="00000000" w:rsidP="003041FD">
            <w:pPr>
              <w:spacing w:before="120" w:after="120"/>
              <w:rPr>
                <w:rStyle w:val="Hyperlink"/>
                <w:rFonts w:asciiTheme="minorHAnsi" w:hAnsiTheme="minorHAnsi"/>
                <w:color w:val="auto"/>
              </w:rPr>
            </w:pPr>
            <w:hyperlink r:id="rId29" w:history="1">
              <w:r w:rsidR="002D4D94" w:rsidRPr="008F480E">
                <w:rPr>
                  <w:rStyle w:val="Hyperlink"/>
                  <w:rFonts w:asciiTheme="minorHAnsi" w:hAnsiTheme="minorHAnsi"/>
                  <w:color w:val="auto"/>
                </w:rPr>
                <w:t>Homelessness Prevention and Diversion Fund: Using flexible funds to house youth and young adults equitably and sustainably</w:t>
              </w:r>
            </w:hyperlink>
          </w:p>
          <w:p w14:paraId="560FDAD1" w14:textId="23D78712"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 xml:space="preserve">B Henwood, Bo-Kyung E Kim, Amy Stein et al. Miracle Friends and Miracle Money in California: A mixed-methods experiment of social support and </w:t>
            </w:r>
            <w:r w:rsidRPr="008F480E">
              <w:rPr>
                <w:rFonts w:asciiTheme="minorHAnsi" w:hAnsiTheme="minorHAnsi"/>
                <w:color w:val="auto"/>
              </w:rPr>
              <w:lastRenderedPageBreak/>
              <w:t xml:space="preserve">guaranteed income for people experiencing homelessness, 06 September 2023, </w:t>
            </w:r>
          </w:p>
        </w:tc>
        <w:tc>
          <w:tcPr>
            <w:tcW w:w="7371" w:type="dxa"/>
          </w:tcPr>
          <w:p w14:paraId="394A6615"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lastRenderedPageBreak/>
              <w:t xml:space="preserve">Direct cash transfers. </w:t>
            </w:r>
          </w:p>
          <w:p w14:paraId="763B0B84"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 xml:space="preserve">No wrong door culture for young people most at risk. Gave one-time payments of USD$1-2k and after receiving them, 93% of young people did not return to homelessness after 12 months. Money could be spent on anything, but mostly spent on rental assistance and housing deposits (bonds).  Distinguishes itself by being fast (same day) and flexible. </w:t>
            </w:r>
          </w:p>
          <w:p w14:paraId="7484F6EF" w14:textId="77777777" w:rsidR="002D4D94" w:rsidRPr="008F480E" w:rsidRDefault="002D4D94" w:rsidP="003041FD">
            <w:pPr>
              <w:spacing w:before="120" w:after="120"/>
              <w:rPr>
                <w:rFonts w:asciiTheme="minorHAnsi" w:hAnsiTheme="minorHAnsi"/>
                <w:color w:val="auto"/>
                <w:lang w:val="en-GB"/>
              </w:rPr>
            </w:pPr>
            <w:r w:rsidRPr="008F480E">
              <w:rPr>
                <w:rFonts w:asciiTheme="minorHAnsi" w:hAnsiTheme="minorHAnsi"/>
                <w:color w:val="auto"/>
                <w:lang w:val="en-GB"/>
              </w:rPr>
              <w:t>Notes that it is part of the overall infrastructure for cross-sector and system-wide collaboration for preventing and ending, including Youth By-Name lists, case conferencing etc. Also relies on capable non-discriminatory staff administering it.</w:t>
            </w:r>
          </w:p>
          <w:p w14:paraId="2C0219AC"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 xml:space="preserve">More recently, a December 2023 report on the results of a monthly cash stipends of $750 per month for people in California who were homeless. The study found that almost two-thirds </w:t>
            </w:r>
            <w:r w:rsidRPr="008D4171">
              <w:rPr>
                <w:rFonts w:asciiTheme="minorHAnsi" w:hAnsiTheme="minorHAnsi"/>
                <w:color w:val="auto"/>
              </w:rPr>
              <w:t>fewer</w:t>
            </w:r>
            <w:r w:rsidRPr="008F480E">
              <w:rPr>
                <w:rFonts w:asciiTheme="minorHAnsi" w:hAnsiTheme="minorHAnsi"/>
                <w:color w:val="auto"/>
              </w:rPr>
              <w:t xml:space="preserve"> people had spent time ‘unsheltered’ after 6 months.</w:t>
            </w:r>
          </w:p>
        </w:tc>
      </w:tr>
      <w:tr w:rsidR="002D4D94" w:rsidRPr="008F480E" w14:paraId="5E15DE1A" w14:textId="77777777" w:rsidTr="00425036">
        <w:trPr>
          <w:trHeight w:val="300"/>
        </w:trPr>
        <w:tc>
          <w:tcPr>
            <w:tcW w:w="2547" w:type="dxa"/>
          </w:tcPr>
          <w:p w14:paraId="560B303C" w14:textId="7EC594CB" w:rsidR="003668EE" w:rsidRPr="008F480E" w:rsidRDefault="002D4D94" w:rsidP="003041FD">
            <w:pPr>
              <w:spacing w:before="120" w:after="120"/>
              <w:rPr>
                <w:rFonts w:asciiTheme="minorHAnsi" w:hAnsiTheme="minorHAnsi"/>
                <w:i/>
                <w:iCs/>
                <w:color w:val="auto"/>
              </w:rPr>
            </w:pPr>
            <w:r w:rsidRPr="008F480E">
              <w:rPr>
                <w:rFonts w:asciiTheme="minorHAnsi" w:hAnsiTheme="minorHAnsi"/>
                <w:i/>
                <w:iCs/>
                <w:color w:val="auto"/>
              </w:rPr>
              <w:t>A rapid evidence assessment of what works in homelessness services. social care institute for excellence.</w:t>
            </w:r>
            <w:r w:rsidR="003668EE" w:rsidRPr="008F480E">
              <w:rPr>
                <w:rFonts w:asciiTheme="minorHAnsi" w:hAnsiTheme="minorHAnsi"/>
                <w:i/>
                <w:iCs/>
                <w:color w:val="auto"/>
              </w:rPr>
              <w:t xml:space="preserve"> </w:t>
            </w:r>
          </w:p>
          <w:p w14:paraId="751E8145" w14:textId="48A3FC19" w:rsidR="002D4D94" w:rsidRPr="008F480E" w:rsidRDefault="003668EE" w:rsidP="003041FD">
            <w:pPr>
              <w:spacing w:before="120" w:after="120"/>
              <w:rPr>
                <w:rFonts w:asciiTheme="minorHAnsi" w:hAnsiTheme="minorHAnsi"/>
                <w:color w:val="auto"/>
              </w:rPr>
            </w:pPr>
            <w:r w:rsidRPr="008F480E">
              <w:rPr>
                <w:rFonts w:asciiTheme="minorHAnsi" w:hAnsiTheme="minorHAnsi"/>
                <w:color w:val="auto"/>
              </w:rPr>
              <w:t>Sheikh, S. and Teeman, D. (2018)</w:t>
            </w:r>
          </w:p>
        </w:tc>
        <w:tc>
          <w:tcPr>
            <w:tcW w:w="7371" w:type="dxa"/>
          </w:tcPr>
          <w:p w14:paraId="2E5228BB"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Evidence review that identifies:</w:t>
            </w:r>
          </w:p>
          <w:p w14:paraId="20F160BB" w14:textId="08E6FFA0"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What services are effective in addressing, reducing or preventing homelessness</w:t>
            </w:r>
            <w:r w:rsidR="008D4171">
              <w:rPr>
                <w:color w:val="auto"/>
                <w:sz w:val="20"/>
              </w:rPr>
              <w:t>.</w:t>
            </w:r>
          </w:p>
          <w:p w14:paraId="6718B4C2" w14:textId="20E945BD"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What features of services are key to being effective</w:t>
            </w:r>
            <w:r w:rsidR="008D4171">
              <w:rPr>
                <w:color w:val="auto"/>
                <w:sz w:val="20"/>
              </w:rPr>
              <w:t>.</w:t>
            </w:r>
          </w:p>
          <w:p w14:paraId="39DB539D" w14:textId="3025285F"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What are the barriers to addressing homelessness</w:t>
            </w:r>
            <w:r w:rsidR="008D4171">
              <w:rPr>
                <w:color w:val="auto"/>
                <w:sz w:val="20"/>
              </w:rPr>
              <w:t>.</w:t>
            </w:r>
          </w:p>
          <w:p w14:paraId="2E237F69"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What works for specific groups of people.</w:t>
            </w:r>
          </w:p>
          <w:p w14:paraId="22DB9CAA"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The review includes programs that specifically target young people and identifies the need for specialised programs for young people.</w:t>
            </w:r>
          </w:p>
        </w:tc>
      </w:tr>
      <w:tr w:rsidR="002D4D94" w:rsidRPr="008F480E" w14:paraId="6228E9A5" w14:textId="77777777" w:rsidTr="00425036">
        <w:tc>
          <w:tcPr>
            <w:tcW w:w="2547" w:type="dxa"/>
          </w:tcPr>
          <w:p w14:paraId="07F67C11" w14:textId="7CEA3D48" w:rsidR="002D4D94" w:rsidRPr="008F480E" w:rsidRDefault="00000000" w:rsidP="003041FD">
            <w:pPr>
              <w:spacing w:before="120" w:after="120"/>
              <w:rPr>
                <w:rFonts w:asciiTheme="minorHAnsi" w:hAnsiTheme="minorHAnsi"/>
                <w:color w:val="auto"/>
              </w:rPr>
            </w:pPr>
            <w:hyperlink r:id="rId30" w:history="1">
              <w:r w:rsidR="002D4D94" w:rsidRPr="008F480E">
                <w:rPr>
                  <w:rStyle w:val="Hyperlink"/>
                  <w:rFonts w:asciiTheme="minorHAnsi" w:hAnsiTheme="minorHAnsi"/>
                  <w:color w:val="auto"/>
                </w:rPr>
                <w:t xml:space="preserve"> </w:t>
              </w:r>
              <w:r w:rsidR="002D4D94" w:rsidRPr="008F480E">
                <w:rPr>
                  <w:rStyle w:val="Hyperlink"/>
                  <w:rFonts w:asciiTheme="minorHAnsi" w:hAnsiTheme="minorHAnsi"/>
                  <w:i/>
                  <w:iCs/>
                  <w:color w:val="auto"/>
                </w:rPr>
                <w:t>Evidence of programs to address homelessness: an Evidence Check rapid review</w:t>
              </w:r>
              <w:r w:rsidR="002D4D94" w:rsidRPr="008F480E">
                <w:rPr>
                  <w:rStyle w:val="Hyperlink"/>
                  <w:rFonts w:asciiTheme="minorHAnsi" w:hAnsiTheme="minorHAnsi"/>
                  <w:color w:val="auto"/>
                </w:rPr>
                <w:t xml:space="preserve"> brokered by the Sax Institute for the NSW Department of Communities and Justice.</w:t>
              </w:r>
            </w:hyperlink>
            <w:r w:rsidR="002D4D94" w:rsidRPr="008F480E">
              <w:rPr>
                <w:rFonts w:asciiTheme="minorHAnsi" w:hAnsiTheme="minorHAnsi"/>
                <w:color w:val="auto"/>
              </w:rPr>
              <w:t xml:space="preserve"> </w:t>
            </w:r>
            <w:r w:rsidR="003668EE" w:rsidRPr="008F480E">
              <w:rPr>
                <w:rFonts w:asciiTheme="minorHAnsi" w:hAnsiTheme="minorHAnsi"/>
                <w:color w:val="auto"/>
              </w:rPr>
              <w:t>Toumbourou JW and Heerde J. (2022)</w:t>
            </w:r>
          </w:p>
        </w:tc>
        <w:tc>
          <w:tcPr>
            <w:tcW w:w="7371" w:type="dxa"/>
          </w:tcPr>
          <w:p w14:paraId="16024BE1" w14:textId="77777777" w:rsidR="002D4D94" w:rsidRPr="008F480E" w:rsidRDefault="002D4D94" w:rsidP="003041FD">
            <w:pPr>
              <w:pStyle w:val="ListBullet"/>
              <w:numPr>
                <w:ilvl w:val="0"/>
                <w:numId w:val="0"/>
              </w:numPr>
              <w:suppressAutoHyphens w:val="0"/>
              <w:ind w:left="32" w:hanging="32"/>
              <w:rPr>
                <w:color w:val="auto"/>
                <w:sz w:val="20"/>
              </w:rPr>
            </w:pPr>
            <w:r w:rsidRPr="008F480E">
              <w:rPr>
                <w:color w:val="auto"/>
                <w:sz w:val="20"/>
              </w:rPr>
              <w:t>Report on the evidence of effectiveness of different models to prevent and address youth homelessness. Key findings include:</w:t>
            </w:r>
          </w:p>
          <w:p w14:paraId="4EE87BAB" w14:textId="1C8A8DA5"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Family therapy and support</w:t>
            </w:r>
            <w:r w:rsidR="00580969" w:rsidRPr="008F480E">
              <w:rPr>
                <w:color w:val="auto"/>
                <w:sz w:val="20"/>
              </w:rPr>
              <w:t>: e</w:t>
            </w:r>
            <w:r w:rsidRPr="008F480E">
              <w:rPr>
                <w:color w:val="auto"/>
                <w:sz w:val="20"/>
              </w:rPr>
              <w:t>ffective programs include Intensive Family Preservation Services, Functional Family Therapy, and On the Way Home – all for CYP in OOHC</w:t>
            </w:r>
            <w:r w:rsidR="008D4171">
              <w:rPr>
                <w:color w:val="auto"/>
                <w:sz w:val="20"/>
              </w:rPr>
              <w:t>.</w:t>
            </w:r>
            <w:r w:rsidRPr="008F480E">
              <w:rPr>
                <w:color w:val="auto"/>
                <w:sz w:val="20"/>
              </w:rPr>
              <w:t xml:space="preserve"> </w:t>
            </w:r>
          </w:p>
          <w:p w14:paraId="08E6C926" w14:textId="0A68B136"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Intensive case management</w:t>
            </w:r>
            <w:r w:rsidR="00D15901" w:rsidRPr="008F480E">
              <w:rPr>
                <w:color w:val="auto"/>
                <w:sz w:val="20"/>
              </w:rPr>
              <w:t>: e</w:t>
            </w:r>
            <w:r w:rsidRPr="008F480E">
              <w:rPr>
                <w:color w:val="auto"/>
                <w:sz w:val="20"/>
              </w:rPr>
              <w:t>ffective programs include Treatment Foster Care Oregon, Take Charge/Better Futures, Pathway Program, YVLifeSet</w:t>
            </w:r>
            <w:r w:rsidR="008D4171">
              <w:rPr>
                <w:color w:val="auto"/>
                <w:sz w:val="20"/>
              </w:rPr>
              <w:t>.</w:t>
            </w:r>
          </w:p>
          <w:p w14:paraId="18BF6B55" w14:textId="6D6315EB"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Service capacity building</w:t>
            </w:r>
            <w:r w:rsidR="008D4171">
              <w:rPr>
                <w:color w:val="auto"/>
                <w:sz w:val="20"/>
              </w:rPr>
              <w:t>.</w:t>
            </w:r>
            <w:r w:rsidRPr="008F480E">
              <w:rPr>
                <w:color w:val="auto"/>
                <w:sz w:val="20"/>
              </w:rPr>
              <w:t xml:space="preserve"> </w:t>
            </w:r>
          </w:p>
          <w:p w14:paraId="02855C06" w14:textId="0D4CC625"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Creating Ongoing Relationships Effectively showed some positive effects on supportive relationships</w:t>
            </w:r>
            <w:r w:rsidR="008D4171">
              <w:rPr>
                <w:color w:val="auto"/>
                <w:sz w:val="20"/>
              </w:rPr>
              <w:t>.</w:t>
            </w:r>
          </w:p>
          <w:p w14:paraId="0476F1DA" w14:textId="22027D21"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COSS</w:t>
            </w:r>
            <w:r w:rsidR="009D0CCF" w:rsidRPr="008F480E">
              <w:rPr>
                <w:color w:val="auto"/>
                <w:sz w:val="20"/>
              </w:rPr>
              <w:t xml:space="preserve">: </w:t>
            </w:r>
            <w:r w:rsidRPr="008F480E">
              <w:rPr>
                <w:color w:val="auto"/>
                <w:sz w:val="20"/>
              </w:rPr>
              <w:t>Some improvement in educational outcomes and non-entry to SHS. No control condition or comparison limited analysis.</w:t>
            </w:r>
          </w:p>
        </w:tc>
      </w:tr>
      <w:tr w:rsidR="002D4D94" w:rsidRPr="008F480E" w14:paraId="73183327" w14:textId="77777777" w:rsidTr="00425036">
        <w:tc>
          <w:tcPr>
            <w:tcW w:w="2547" w:type="dxa"/>
          </w:tcPr>
          <w:p w14:paraId="56985AA6" w14:textId="078CFA18" w:rsidR="002D4D94" w:rsidRPr="008F480E" w:rsidRDefault="00000000" w:rsidP="003041FD">
            <w:pPr>
              <w:spacing w:before="120" w:after="120"/>
              <w:rPr>
                <w:rFonts w:asciiTheme="minorHAnsi" w:hAnsiTheme="minorHAnsi"/>
                <w:color w:val="auto"/>
              </w:rPr>
            </w:pPr>
            <w:hyperlink r:id="rId31" w:history="1">
              <w:r w:rsidR="002D4D94" w:rsidRPr="008F480E">
                <w:rPr>
                  <w:rStyle w:val="Hyperlink"/>
                  <w:rFonts w:asciiTheme="minorHAnsi" w:hAnsiTheme="minorHAnsi"/>
                  <w:color w:val="auto"/>
                </w:rPr>
                <w:t>Tas</w:t>
              </w:r>
              <w:r w:rsidR="009D0CCF" w:rsidRPr="008F480E">
                <w:rPr>
                  <w:rStyle w:val="Hyperlink"/>
                  <w:rFonts w:asciiTheme="minorHAnsi" w:hAnsiTheme="minorHAnsi"/>
                  <w:color w:val="auto"/>
                </w:rPr>
                <w:t>manian</w:t>
              </w:r>
              <w:r w:rsidR="002D4D94" w:rsidRPr="008F480E">
                <w:rPr>
                  <w:rStyle w:val="Hyperlink"/>
                  <w:rFonts w:asciiTheme="minorHAnsi" w:hAnsiTheme="minorHAnsi"/>
                  <w:color w:val="auto"/>
                </w:rPr>
                <w:t xml:space="preserve"> Premier media release about pilot</w:t>
              </w:r>
            </w:hyperlink>
          </w:p>
        </w:tc>
        <w:tc>
          <w:tcPr>
            <w:tcW w:w="7371" w:type="dxa"/>
          </w:tcPr>
          <w:p w14:paraId="2DDA67E0" w14:textId="321F7823"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Tasmania, under the Lighthouse Project, have a $10M pilot with M</w:t>
            </w:r>
            <w:r w:rsidR="009D0CCF" w:rsidRPr="008F480E">
              <w:rPr>
                <w:rFonts w:asciiTheme="minorHAnsi" w:hAnsiTheme="minorHAnsi"/>
                <w:color w:val="auto"/>
              </w:rPr>
              <w:t xml:space="preserve">ission </w:t>
            </w:r>
            <w:r w:rsidRPr="008F480E">
              <w:rPr>
                <w:rFonts w:asciiTheme="minorHAnsi" w:hAnsiTheme="minorHAnsi"/>
                <w:color w:val="auto"/>
              </w:rPr>
              <w:t>A</w:t>
            </w:r>
            <w:r w:rsidR="009D0CCF" w:rsidRPr="008F480E">
              <w:rPr>
                <w:rFonts w:asciiTheme="minorHAnsi" w:hAnsiTheme="minorHAnsi"/>
                <w:color w:val="auto"/>
              </w:rPr>
              <w:t>ustralia</w:t>
            </w:r>
            <w:r w:rsidRPr="008F480E">
              <w:rPr>
                <w:rFonts w:asciiTheme="minorHAnsi" w:hAnsiTheme="minorHAnsi"/>
                <w:color w:val="auto"/>
              </w:rPr>
              <w:t>. Homes Tas provided the site and completed the renovation. Non-crisis, medium to longer-term transitional care and accommodation service.</w:t>
            </w:r>
          </w:p>
          <w:p w14:paraId="2ECFC07C" w14:textId="77777777" w:rsidR="002D4D94" w:rsidRPr="008F480E" w:rsidRDefault="002D4D94" w:rsidP="003041FD">
            <w:pPr>
              <w:spacing w:before="120" w:after="120"/>
              <w:rPr>
                <w:rFonts w:asciiTheme="minorHAnsi" w:hAnsiTheme="minorHAnsi"/>
                <w:color w:val="auto"/>
              </w:rPr>
            </w:pPr>
          </w:p>
        </w:tc>
      </w:tr>
      <w:tr w:rsidR="002D4D94" w:rsidRPr="008F480E" w14:paraId="5D45DCF3" w14:textId="77777777" w:rsidTr="00425036">
        <w:trPr>
          <w:trHeight w:val="2665"/>
        </w:trPr>
        <w:tc>
          <w:tcPr>
            <w:tcW w:w="2547" w:type="dxa"/>
          </w:tcPr>
          <w:p w14:paraId="026F64C5"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Tasmania Under 16 Program</w:t>
            </w:r>
          </w:p>
          <w:p w14:paraId="067987F3" w14:textId="77777777" w:rsidR="002D4D94" w:rsidRPr="008F480E" w:rsidRDefault="00000000" w:rsidP="003041FD">
            <w:pPr>
              <w:spacing w:before="120" w:after="120"/>
              <w:rPr>
                <w:rStyle w:val="Hyperlink"/>
                <w:rFonts w:asciiTheme="minorHAnsi" w:hAnsiTheme="minorHAnsi"/>
                <w:color w:val="auto"/>
              </w:rPr>
            </w:pPr>
            <w:hyperlink r:id="rId32" w:history="1">
              <w:r w:rsidR="002D4D94" w:rsidRPr="008F480E">
                <w:rPr>
                  <w:rStyle w:val="Hyperlink"/>
                  <w:rFonts w:asciiTheme="minorHAnsi" w:hAnsiTheme="minorHAnsi"/>
                  <w:color w:val="auto"/>
                </w:rPr>
                <w:t>U16-Practice-Guidelines-SHS.pdf (education.tas.gov.au)</w:t>
              </w:r>
            </w:hyperlink>
          </w:p>
          <w:p w14:paraId="7F613976" w14:textId="77777777" w:rsidR="002D4D94" w:rsidRPr="008F480E" w:rsidRDefault="002D4D94" w:rsidP="003041FD">
            <w:pPr>
              <w:spacing w:before="120" w:after="120"/>
              <w:rPr>
                <w:rStyle w:val="Hyperlink"/>
                <w:rFonts w:asciiTheme="minorHAnsi" w:hAnsiTheme="minorHAnsi"/>
                <w:color w:val="auto"/>
              </w:rPr>
            </w:pPr>
          </w:p>
          <w:p w14:paraId="4FE65FF0" w14:textId="77777777" w:rsidR="002D4D94" w:rsidRPr="008F480E" w:rsidRDefault="00000000" w:rsidP="003041FD">
            <w:pPr>
              <w:spacing w:before="120" w:after="120"/>
              <w:rPr>
                <w:rFonts w:asciiTheme="minorHAnsi" w:hAnsiTheme="minorHAnsi"/>
                <w:b/>
                <w:bCs/>
                <w:color w:val="auto"/>
              </w:rPr>
            </w:pPr>
            <w:hyperlink r:id="rId33" w:history="1">
              <w:r w:rsidR="002D4D94" w:rsidRPr="008F480E">
                <w:rPr>
                  <w:rStyle w:val="Hyperlink"/>
                  <w:rFonts w:asciiTheme="minorHAnsi" w:hAnsiTheme="minorHAnsi"/>
                  <w:color w:val="auto"/>
                </w:rPr>
                <w:t>U16-Policy-Framework.pdf (education.tas.gov.au)</w:t>
              </w:r>
            </w:hyperlink>
          </w:p>
          <w:p w14:paraId="53FB6376" w14:textId="77777777" w:rsidR="002D4D94" w:rsidRPr="008F480E" w:rsidRDefault="00000000" w:rsidP="003041FD">
            <w:pPr>
              <w:spacing w:before="120" w:after="120"/>
              <w:rPr>
                <w:rFonts w:asciiTheme="minorHAnsi" w:hAnsiTheme="minorHAnsi"/>
                <w:color w:val="auto"/>
              </w:rPr>
            </w:pPr>
            <w:hyperlink r:id="rId34" w:history="1">
              <w:r w:rsidR="002D4D94" w:rsidRPr="008F480E">
                <w:rPr>
                  <w:rStyle w:val="Hyperlink"/>
                  <w:rFonts w:asciiTheme="minorHAnsi" w:hAnsiTheme="minorHAnsi"/>
                  <w:color w:val="auto"/>
                </w:rPr>
                <w:t>U16-Practice-Guidelines-SHS.pdf (education.tas.gov.au)</w:t>
              </w:r>
            </w:hyperlink>
          </w:p>
        </w:tc>
        <w:tc>
          <w:tcPr>
            <w:tcW w:w="7371" w:type="dxa"/>
          </w:tcPr>
          <w:p w14:paraId="6E238792"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Tailored policies, program and practice guidelines for children and young people.</w:t>
            </w:r>
          </w:p>
          <w:p w14:paraId="6414E6D8"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Care Team brings together a group of key people identified by a child/young person as being important in their life. May include family, parent/caregivers, legal guardian, relevant professionals and an education person as well as culture rep for at least ATSI. Early identification and meeting of care team on presentation to SHS.</w:t>
            </w:r>
          </w:p>
          <w:p w14:paraId="10E8E196" w14:textId="77777777" w:rsidR="002D4D94" w:rsidRPr="008F480E" w:rsidRDefault="002D4D94" w:rsidP="003041FD">
            <w:pPr>
              <w:spacing w:before="120" w:after="120"/>
              <w:rPr>
                <w:rFonts w:asciiTheme="minorHAnsi" w:hAnsiTheme="minorHAnsi"/>
                <w:b/>
                <w:bCs/>
                <w:color w:val="auto"/>
              </w:rPr>
            </w:pPr>
            <w:r w:rsidRPr="008F480E">
              <w:rPr>
                <w:rFonts w:asciiTheme="minorHAnsi" w:hAnsiTheme="minorHAnsi"/>
                <w:color w:val="auto"/>
              </w:rPr>
              <w:t xml:space="preserve">Policy framework or Protocols for &lt;16s: A document that articulates respective commitment and responsibilities. </w:t>
            </w:r>
          </w:p>
          <w:p w14:paraId="4310241A" w14:textId="408AF49D"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Practice guidelines for SHS re overall objectives, roles and responsibilities. Aimed at unaccompanied &lt;16s. Presents a model of care. Would cover the intersection of other Acts including OOHC, justice, mental health etc.</w:t>
            </w:r>
          </w:p>
        </w:tc>
      </w:tr>
      <w:tr w:rsidR="002D4D94" w:rsidRPr="008F480E" w14:paraId="703ACE2E" w14:textId="77777777" w:rsidTr="00425036">
        <w:trPr>
          <w:trHeight w:val="680"/>
        </w:trPr>
        <w:tc>
          <w:tcPr>
            <w:tcW w:w="2547" w:type="dxa"/>
          </w:tcPr>
          <w:p w14:paraId="5C3A3882" w14:textId="5487308E" w:rsidR="002D4D94" w:rsidRPr="008F480E" w:rsidRDefault="002D4D94" w:rsidP="003041FD">
            <w:pPr>
              <w:spacing w:before="120" w:after="120"/>
              <w:rPr>
                <w:rFonts w:asciiTheme="minorHAnsi" w:hAnsiTheme="minorHAnsi"/>
                <w:color w:val="auto"/>
              </w:rPr>
            </w:pPr>
            <w:r w:rsidRPr="008F480E">
              <w:rPr>
                <w:rFonts w:asciiTheme="minorHAnsi" w:hAnsiTheme="minorHAnsi"/>
                <w:i/>
                <w:iCs/>
                <w:color w:val="auto"/>
              </w:rPr>
              <w:t>Pathways to Homelessness</w:t>
            </w:r>
            <w:r w:rsidR="006A0AF0" w:rsidRPr="008F480E">
              <w:rPr>
                <w:rFonts w:asciiTheme="minorHAnsi" w:hAnsiTheme="minorHAnsi"/>
                <w:color w:val="auto"/>
              </w:rPr>
              <w:t xml:space="preserve"> Taylor Fry,</w:t>
            </w:r>
          </w:p>
        </w:tc>
        <w:tc>
          <w:tcPr>
            <w:tcW w:w="7371" w:type="dxa"/>
          </w:tcPr>
          <w:p w14:paraId="4096B216"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The Taylor Fry report analyses pathways and touch points within the service system for SHS users, providing a picture of potential engagement and early intervention points.</w:t>
            </w:r>
          </w:p>
        </w:tc>
      </w:tr>
      <w:tr w:rsidR="002D4D94" w:rsidRPr="008F480E" w14:paraId="6446D176" w14:textId="77777777" w:rsidTr="00425036">
        <w:tc>
          <w:tcPr>
            <w:tcW w:w="2547" w:type="dxa"/>
          </w:tcPr>
          <w:p w14:paraId="1B04B2E6" w14:textId="77777777" w:rsidR="002D4D94" w:rsidRPr="008F480E" w:rsidRDefault="00000000" w:rsidP="003041FD">
            <w:pPr>
              <w:spacing w:before="120" w:after="120"/>
              <w:rPr>
                <w:rFonts w:asciiTheme="minorHAnsi" w:hAnsiTheme="minorHAnsi"/>
                <w:color w:val="auto"/>
                <w:kern w:val="24"/>
                <w:lang w:val="en-GB"/>
              </w:rPr>
            </w:pPr>
            <w:hyperlink r:id="rId35" w:history="1">
              <w:r w:rsidR="002D4D94" w:rsidRPr="008F480E">
                <w:rPr>
                  <w:rStyle w:val="Hyperlink"/>
                  <w:rFonts w:asciiTheme="minorHAnsi" w:hAnsiTheme="minorHAnsi"/>
                  <w:color w:val="auto"/>
                </w:rPr>
                <w:t>The Roadmap for the Prevention of Youth Homelessness</w:t>
              </w:r>
            </w:hyperlink>
          </w:p>
        </w:tc>
        <w:tc>
          <w:tcPr>
            <w:tcW w:w="7371" w:type="dxa"/>
          </w:tcPr>
          <w:p w14:paraId="1E4FE285" w14:textId="77777777" w:rsidR="002D4D94" w:rsidRPr="008F480E" w:rsidRDefault="002D4D94" w:rsidP="003041FD">
            <w:pPr>
              <w:spacing w:before="120" w:after="120"/>
              <w:rPr>
                <w:rFonts w:asciiTheme="minorHAnsi" w:hAnsiTheme="minorHAnsi"/>
                <w:color w:val="auto"/>
                <w:lang w:val="en-GB"/>
              </w:rPr>
            </w:pPr>
            <w:r w:rsidRPr="008F480E">
              <w:rPr>
                <w:rFonts w:asciiTheme="minorHAnsi" w:hAnsiTheme="minorHAnsi"/>
                <w:color w:val="auto"/>
                <w:lang w:val="en-GB"/>
              </w:rPr>
              <w:t>The Canadian Roadmap targets prevention across domains:</w:t>
            </w:r>
          </w:p>
          <w:p w14:paraId="79B1CE4C"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Structural prevention</w:t>
            </w:r>
          </w:p>
          <w:p w14:paraId="35442C7A"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Systems prevention</w:t>
            </w:r>
          </w:p>
          <w:p w14:paraId="136B0955"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Early intervention</w:t>
            </w:r>
          </w:p>
          <w:p w14:paraId="0C51C086"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Eviction prevention</w:t>
            </w:r>
          </w:p>
          <w:p w14:paraId="37538276"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Housing stabilisation</w:t>
            </w:r>
          </w:p>
          <w:p w14:paraId="19C0C209"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 xml:space="preserve">Duty to Assist </w:t>
            </w:r>
          </w:p>
          <w:p w14:paraId="4B7E54F9" w14:textId="4924F83A" w:rsidR="002D4D94" w:rsidRPr="008F480E" w:rsidRDefault="002D4D94" w:rsidP="003041FD">
            <w:pPr>
              <w:spacing w:before="120" w:after="120"/>
              <w:rPr>
                <w:rFonts w:asciiTheme="minorHAnsi" w:hAnsiTheme="minorHAnsi"/>
                <w:color w:val="auto"/>
                <w:lang w:val="en-GB"/>
              </w:rPr>
            </w:pPr>
            <w:r w:rsidRPr="008F480E">
              <w:rPr>
                <w:rFonts w:asciiTheme="minorHAnsi" w:hAnsiTheme="minorHAnsi"/>
                <w:color w:val="auto"/>
                <w:lang w:val="en-GB"/>
              </w:rPr>
              <w:t>Structural prevention includes poverty reduction, promoting social inclusion, and reducing adverse childhood experiences.</w:t>
            </w:r>
          </w:p>
          <w:p w14:paraId="22828526" w14:textId="77777777" w:rsidR="002D4D94" w:rsidRPr="008F480E" w:rsidRDefault="002D4D94" w:rsidP="003041FD">
            <w:pPr>
              <w:spacing w:before="120" w:after="120"/>
              <w:rPr>
                <w:rFonts w:asciiTheme="minorHAnsi" w:hAnsiTheme="minorHAnsi"/>
                <w:color w:val="auto"/>
                <w:lang w:val="en-GB"/>
              </w:rPr>
            </w:pPr>
            <w:r w:rsidRPr="008F480E">
              <w:rPr>
                <w:rFonts w:asciiTheme="minorHAnsi" w:hAnsiTheme="minorHAnsi"/>
                <w:color w:val="auto"/>
                <w:lang w:val="en-GB"/>
              </w:rPr>
              <w:t>Duty to Assist, enshrining housing as a human right includes:</w:t>
            </w:r>
          </w:p>
          <w:p w14:paraId="043AC86B" w14:textId="555A30F6"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A legal duty to make reasonable efforts to end a young   person’s homelessness or stabilize their housing</w:t>
            </w:r>
            <w:r w:rsidR="008D4171">
              <w:rPr>
                <w:color w:val="auto"/>
                <w:sz w:val="20"/>
                <w:lang w:val="en-GB"/>
              </w:rPr>
              <w:t>.</w:t>
            </w:r>
            <w:r w:rsidRPr="008F480E">
              <w:rPr>
                <w:color w:val="auto"/>
                <w:sz w:val="20"/>
                <w:lang w:val="en-GB"/>
              </w:rPr>
              <w:t xml:space="preserve"> </w:t>
            </w:r>
          </w:p>
          <w:p w14:paraId="5E275A88" w14:textId="00153E10"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Young people provided with information, advice, and housing-led supports</w:t>
            </w:r>
            <w:r w:rsidR="008D4171">
              <w:rPr>
                <w:color w:val="auto"/>
                <w:sz w:val="20"/>
                <w:lang w:val="en-GB"/>
              </w:rPr>
              <w:t>.</w:t>
            </w:r>
            <w:r w:rsidRPr="008F480E">
              <w:rPr>
                <w:color w:val="auto"/>
                <w:sz w:val="20"/>
                <w:lang w:val="en-GB"/>
              </w:rPr>
              <w:t xml:space="preserve"> </w:t>
            </w:r>
          </w:p>
          <w:p w14:paraId="26C8ECF3" w14:textId="49FAA67B"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Provincial / territorial legislation, delivered at the community level</w:t>
            </w:r>
            <w:r w:rsidR="008D4171">
              <w:rPr>
                <w:color w:val="auto"/>
                <w:sz w:val="20"/>
                <w:lang w:val="en-GB"/>
              </w:rPr>
              <w:t>.</w:t>
            </w:r>
            <w:r w:rsidRPr="008F480E">
              <w:rPr>
                <w:color w:val="auto"/>
                <w:sz w:val="20"/>
                <w:lang w:val="en-GB"/>
              </w:rPr>
              <w:t xml:space="preserve"> </w:t>
            </w:r>
          </w:p>
          <w:p w14:paraId="0536DC14" w14:textId="2FD19F24"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Youth have a place to access supports</w:t>
            </w:r>
            <w:r w:rsidR="008D4171">
              <w:rPr>
                <w:color w:val="auto"/>
                <w:sz w:val="20"/>
                <w:lang w:val="en-GB"/>
              </w:rPr>
              <w:t>.</w:t>
            </w:r>
            <w:r w:rsidRPr="008F480E">
              <w:rPr>
                <w:color w:val="auto"/>
                <w:sz w:val="20"/>
                <w:lang w:val="en-GB"/>
              </w:rPr>
              <w:t xml:space="preserve"> </w:t>
            </w:r>
          </w:p>
          <w:p w14:paraId="032ED506" w14:textId="152B63FA"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Adults have a place to refer young people</w:t>
            </w:r>
            <w:r w:rsidR="008D4171">
              <w:rPr>
                <w:color w:val="auto"/>
                <w:sz w:val="20"/>
                <w:lang w:val="en-GB"/>
              </w:rPr>
              <w:t>.</w:t>
            </w:r>
          </w:p>
          <w:p w14:paraId="36AEFAA8" w14:textId="77777777" w:rsidR="002D4D94" w:rsidRPr="008F480E" w:rsidRDefault="002D4D94" w:rsidP="003041FD">
            <w:pPr>
              <w:spacing w:before="120" w:after="120"/>
              <w:rPr>
                <w:rFonts w:asciiTheme="minorHAnsi" w:hAnsiTheme="minorHAnsi"/>
                <w:color w:val="auto"/>
                <w:lang w:val="en-GB"/>
              </w:rPr>
            </w:pPr>
            <w:r w:rsidRPr="008F480E">
              <w:rPr>
                <w:rFonts w:asciiTheme="minorHAnsi" w:hAnsiTheme="minorHAnsi"/>
                <w:color w:val="auto"/>
              </w:rPr>
              <w:t>Eviction prevention for young people</w:t>
            </w:r>
            <w:r w:rsidRPr="008F480E">
              <w:rPr>
                <w:rFonts w:asciiTheme="minorHAnsi" w:hAnsiTheme="minorHAnsi"/>
                <w:color w:val="auto"/>
                <w:lang w:val="en-GB"/>
              </w:rPr>
              <w:t xml:space="preserve"> </w:t>
            </w:r>
          </w:p>
          <w:p w14:paraId="71D2D0B4" w14:textId="77777777" w:rsidR="002D4D94" w:rsidRPr="008F480E" w:rsidRDefault="002D4D94" w:rsidP="003041FD">
            <w:pPr>
              <w:spacing w:before="120" w:after="120"/>
              <w:rPr>
                <w:rFonts w:asciiTheme="minorHAnsi" w:hAnsiTheme="minorHAnsi"/>
                <w:color w:val="auto"/>
                <w:lang w:val="en-GB"/>
              </w:rPr>
            </w:pPr>
            <w:r w:rsidRPr="008F480E">
              <w:rPr>
                <w:rFonts w:asciiTheme="minorHAnsi" w:hAnsiTheme="minorHAnsi"/>
                <w:color w:val="auto"/>
                <w:lang w:val="en-GB"/>
              </w:rPr>
              <w:t>Roadmap outlines prevention activities at multiple levels, but specifies eviction prevention for young people as:</w:t>
            </w:r>
          </w:p>
          <w:p w14:paraId="3F9D79C9" w14:textId="77777777"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 xml:space="preserve">Strengthening laws and legislation protecting tenants  </w:t>
            </w:r>
          </w:p>
          <w:p w14:paraId="1755D92E" w14:textId="77777777"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 xml:space="preserve">Provision of information and advice for youth and their families  </w:t>
            </w:r>
          </w:p>
          <w:p w14:paraId="53798649" w14:textId="77777777"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 xml:space="preserve">Provision of financial supports for tenants </w:t>
            </w:r>
          </w:p>
          <w:p w14:paraId="782190C8" w14:textId="77777777"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 xml:space="preserve">Access to legal supports, advice, and representation  </w:t>
            </w:r>
          </w:p>
          <w:p w14:paraId="3ABC48EF" w14:textId="77777777"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color w:val="auto"/>
                <w:sz w:val="20"/>
                <w:lang w:val="en-GB"/>
              </w:rPr>
              <w:t>Targeted and timely crisis intervention</w:t>
            </w:r>
          </w:p>
        </w:tc>
      </w:tr>
      <w:tr w:rsidR="002D4D94" w:rsidRPr="008F480E" w14:paraId="057D25AE" w14:textId="77777777" w:rsidTr="00425036">
        <w:tc>
          <w:tcPr>
            <w:tcW w:w="2547" w:type="dxa"/>
          </w:tcPr>
          <w:p w14:paraId="71838A0D" w14:textId="615EA20F" w:rsidR="006A0AF0" w:rsidRPr="008F480E" w:rsidRDefault="00000000" w:rsidP="003041FD">
            <w:pPr>
              <w:spacing w:before="120" w:after="120"/>
              <w:rPr>
                <w:rFonts w:asciiTheme="minorHAnsi" w:hAnsiTheme="minorHAnsi"/>
                <w:i/>
                <w:iCs/>
                <w:color w:val="auto"/>
                <w:lang w:val="en-GB"/>
              </w:rPr>
            </w:pPr>
            <w:hyperlink r:id="rId36" w:history="1">
              <w:r w:rsidR="002D4D94" w:rsidRPr="008F480E">
                <w:rPr>
                  <w:rStyle w:val="Hyperlink"/>
                  <w:rFonts w:asciiTheme="minorHAnsi" w:hAnsiTheme="minorHAnsi"/>
                  <w:i/>
                  <w:iCs/>
                  <w:color w:val="auto"/>
                  <w:lang w:val="en-GB"/>
                </w:rPr>
                <w:t>A way home: Youth homelessness community planning toolkit</w:t>
              </w:r>
            </w:hyperlink>
            <w:r w:rsidR="006A0AF0" w:rsidRPr="008F480E">
              <w:rPr>
                <w:rFonts w:asciiTheme="minorHAnsi" w:hAnsiTheme="minorHAnsi"/>
                <w:i/>
                <w:iCs/>
                <w:color w:val="auto"/>
                <w:lang w:val="en-GB"/>
              </w:rPr>
              <w:t xml:space="preserve"> </w:t>
            </w:r>
          </w:p>
          <w:p w14:paraId="0BDE9781" w14:textId="68110F44" w:rsidR="002D4D94" w:rsidRPr="008F480E" w:rsidRDefault="006A0AF0" w:rsidP="003041FD">
            <w:pPr>
              <w:spacing w:before="120" w:after="120"/>
              <w:rPr>
                <w:rFonts w:asciiTheme="minorHAnsi" w:hAnsiTheme="minorHAnsi"/>
                <w:color w:val="auto"/>
              </w:rPr>
            </w:pPr>
            <w:r w:rsidRPr="008F480E">
              <w:rPr>
                <w:rFonts w:asciiTheme="minorHAnsi" w:hAnsiTheme="minorHAnsi"/>
                <w:color w:val="auto"/>
                <w:lang w:val="en-GB"/>
              </w:rPr>
              <w:t xml:space="preserve">Turner A  </w:t>
            </w:r>
          </w:p>
        </w:tc>
        <w:tc>
          <w:tcPr>
            <w:tcW w:w="7371" w:type="dxa"/>
          </w:tcPr>
          <w:p w14:paraId="7566D819"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Require separate child/young person focused regional plans that sit alongside or are part of the new place-based planning approach, and which give effect to the Strategy and Action Plan.</w:t>
            </w:r>
          </w:p>
        </w:tc>
      </w:tr>
      <w:tr w:rsidR="002D4D94" w:rsidRPr="008F480E" w14:paraId="253CB70A" w14:textId="77777777" w:rsidTr="00425036">
        <w:tc>
          <w:tcPr>
            <w:tcW w:w="2547" w:type="dxa"/>
          </w:tcPr>
          <w:p w14:paraId="2D1B3B96" w14:textId="77777777" w:rsidR="002D4D94" w:rsidRPr="008F480E" w:rsidRDefault="002D4D94" w:rsidP="003041FD">
            <w:pPr>
              <w:spacing w:before="120" w:after="120"/>
              <w:rPr>
                <w:rFonts w:asciiTheme="minorHAnsi" w:hAnsiTheme="minorHAnsi"/>
                <w:i/>
                <w:iCs/>
                <w:color w:val="auto"/>
              </w:rPr>
            </w:pPr>
            <w:r w:rsidRPr="008F480E">
              <w:rPr>
                <w:rFonts w:asciiTheme="minorHAnsi" w:hAnsiTheme="minorHAnsi"/>
                <w:i/>
                <w:iCs/>
                <w:color w:val="auto"/>
              </w:rPr>
              <w:t>Upstream Australia</w:t>
            </w:r>
          </w:p>
        </w:tc>
        <w:tc>
          <w:tcPr>
            <w:tcW w:w="7371" w:type="dxa"/>
          </w:tcPr>
          <w:p w14:paraId="08C9A5E3"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Upstream Australia has produced many reports on tackling youth homelessness effectively. The organisation provides backbone and data analysis support under the COSS (</w:t>
            </w:r>
            <w:r w:rsidRPr="008F480E">
              <w:rPr>
                <w:rFonts w:asciiTheme="minorHAnsi" w:hAnsiTheme="minorHAnsi"/>
                <w:color w:val="auto"/>
                <w:lang w:val="en-GB"/>
              </w:rPr>
              <w:t>Geelong</w:t>
            </w:r>
            <w:r w:rsidRPr="008F480E">
              <w:rPr>
                <w:rFonts w:asciiTheme="minorHAnsi" w:hAnsiTheme="minorHAnsi"/>
                <w:color w:val="auto"/>
              </w:rPr>
              <w:t xml:space="preserve"> project) model. The Community of Schools and Services (COSS) model involves universal screening and robust responses from schools and supports in the service system. Incidence of youth homelessness declined following implementation of the model in Geelong.</w:t>
            </w:r>
          </w:p>
          <w:p w14:paraId="3AEDB860" w14:textId="67A8BEC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 xml:space="preserve">Upstream Australia advocates for a </w:t>
            </w:r>
            <w:r w:rsidR="002A35FF" w:rsidRPr="008F480E">
              <w:rPr>
                <w:rFonts w:asciiTheme="minorHAnsi" w:hAnsiTheme="minorHAnsi"/>
                <w:color w:val="auto"/>
              </w:rPr>
              <w:t>10-point</w:t>
            </w:r>
            <w:r w:rsidRPr="008F480E">
              <w:rPr>
                <w:rFonts w:asciiTheme="minorHAnsi" w:hAnsiTheme="minorHAnsi"/>
                <w:color w:val="auto"/>
              </w:rPr>
              <w:t xml:space="preserve"> plan</w:t>
            </w:r>
          </w:p>
          <w:p w14:paraId="4CC71C95" w14:textId="77777777" w:rsidR="002D4D94" w:rsidRPr="008F480E" w:rsidRDefault="002D4D94" w:rsidP="00B13429">
            <w:pPr>
              <w:pStyle w:val="ListParagraph"/>
              <w:numPr>
                <w:ilvl w:val="0"/>
                <w:numId w:val="31"/>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t>Whole of Government approach to tackling homelessness</w:t>
            </w:r>
          </w:p>
          <w:p w14:paraId="0DA05494" w14:textId="77777777" w:rsidR="002D4D94" w:rsidRPr="008F480E" w:rsidRDefault="002D4D94" w:rsidP="00B13429">
            <w:pPr>
              <w:pStyle w:val="ListParagraph"/>
              <w:numPr>
                <w:ilvl w:val="0"/>
                <w:numId w:val="31"/>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t>Place base collective impact reform</w:t>
            </w:r>
          </w:p>
          <w:p w14:paraId="5AD95A13" w14:textId="77777777" w:rsidR="002D4D94" w:rsidRPr="008F480E" w:rsidRDefault="002D4D94" w:rsidP="00B13429">
            <w:pPr>
              <w:pStyle w:val="ListParagraph"/>
              <w:numPr>
                <w:ilvl w:val="0"/>
                <w:numId w:val="31"/>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t>Increase entry points for young people across regional areas</w:t>
            </w:r>
          </w:p>
          <w:p w14:paraId="5F618077" w14:textId="77777777" w:rsidR="002D4D94" w:rsidRPr="008F480E" w:rsidRDefault="002D4D94" w:rsidP="00B13429">
            <w:pPr>
              <w:pStyle w:val="ListParagraph"/>
              <w:numPr>
                <w:ilvl w:val="0"/>
                <w:numId w:val="31"/>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t>Fund COSS models as prevention for homelessness</w:t>
            </w:r>
          </w:p>
          <w:p w14:paraId="3A8A2ED8" w14:textId="77777777" w:rsidR="002D4D94" w:rsidRPr="008F480E" w:rsidRDefault="002D4D94" w:rsidP="00B13429">
            <w:pPr>
              <w:pStyle w:val="ListParagraph"/>
              <w:numPr>
                <w:ilvl w:val="0"/>
                <w:numId w:val="31"/>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lastRenderedPageBreak/>
              <w:t xml:space="preserve">Target social housing properties for young people </w:t>
            </w:r>
          </w:p>
          <w:p w14:paraId="6233F799" w14:textId="77777777" w:rsidR="002D4D94" w:rsidRPr="008F480E" w:rsidRDefault="002D4D94" w:rsidP="00B13429">
            <w:pPr>
              <w:pStyle w:val="ListParagraph"/>
              <w:numPr>
                <w:ilvl w:val="0"/>
                <w:numId w:val="31"/>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t>Invest in new Youth Foyers</w:t>
            </w:r>
          </w:p>
          <w:p w14:paraId="7EAE8E55" w14:textId="77777777" w:rsidR="002D4D94" w:rsidRPr="008F480E" w:rsidRDefault="002D4D94" w:rsidP="00B13429">
            <w:pPr>
              <w:pStyle w:val="ListParagraph"/>
              <w:numPr>
                <w:ilvl w:val="0"/>
                <w:numId w:val="31"/>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t xml:space="preserve">Take a Housing First approach to support people sleeping rough </w:t>
            </w:r>
          </w:p>
          <w:p w14:paraId="09974659" w14:textId="77777777" w:rsidR="002D4D94" w:rsidRPr="008F480E" w:rsidRDefault="002D4D94" w:rsidP="00B13429">
            <w:pPr>
              <w:pStyle w:val="ListParagraph"/>
              <w:numPr>
                <w:ilvl w:val="0"/>
                <w:numId w:val="31"/>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t>OOHC Leaving care package + CP response for under 15s</w:t>
            </w:r>
          </w:p>
          <w:p w14:paraId="0B72745D" w14:textId="77777777" w:rsidR="002D4D94" w:rsidRPr="008F480E" w:rsidRDefault="002D4D94" w:rsidP="00B13429">
            <w:pPr>
              <w:pStyle w:val="ListParagraph"/>
              <w:numPr>
                <w:ilvl w:val="0"/>
                <w:numId w:val="31"/>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t>Private Rental subsidy for Young People</w:t>
            </w:r>
          </w:p>
          <w:p w14:paraId="40E6D7D2" w14:textId="4FABC2EA" w:rsidR="002D4D94" w:rsidRPr="008F480E" w:rsidRDefault="002D4D94" w:rsidP="00B13429">
            <w:pPr>
              <w:pStyle w:val="ListParagraph"/>
              <w:numPr>
                <w:ilvl w:val="0"/>
                <w:numId w:val="31"/>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t>Ongoing Tenancy Support</w:t>
            </w:r>
            <w:r w:rsidR="002A35FF">
              <w:rPr>
                <w:rFonts w:asciiTheme="minorHAnsi" w:hAnsiTheme="minorHAnsi"/>
                <w:color w:val="auto"/>
                <w:lang w:val="en-GB"/>
              </w:rPr>
              <w:t>.</w:t>
            </w:r>
          </w:p>
          <w:p w14:paraId="72F26A6E"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Reports from Upstream Australia include analysis of:</w:t>
            </w:r>
          </w:p>
          <w:p w14:paraId="58E9E151"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Effectiveness of COSS Models</w:t>
            </w:r>
          </w:p>
          <w:p w14:paraId="1F75B4DF"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Youth Model Models</w:t>
            </w:r>
          </w:p>
          <w:p w14:paraId="01A89DB1"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Leaving Care</w:t>
            </w:r>
          </w:p>
          <w:p w14:paraId="3CB63823"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Rough Sleeping</w:t>
            </w:r>
          </w:p>
          <w:p w14:paraId="35947055"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Private Rental Subsidies</w:t>
            </w:r>
          </w:p>
          <w:p w14:paraId="1AA6351D"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Youth Housing Models</w:t>
            </w:r>
          </w:p>
          <w:p w14:paraId="755050E7" w14:textId="0B61770F"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Place-based Models</w:t>
            </w:r>
            <w:r w:rsidR="002A35FF">
              <w:rPr>
                <w:color w:val="auto"/>
                <w:sz w:val="20"/>
              </w:rPr>
              <w:t>.</w:t>
            </w:r>
          </w:p>
        </w:tc>
      </w:tr>
      <w:tr w:rsidR="002D4D94" w:rsidRPr="008F480E" w14:paraId="0298E91C" w14:textId="77777777" w:rsidTr="00425036">
        <w:tc>
          <w:tcPr>
            <w:tcW w:w="2547" w:type="dxa"/>
          </w:tcPr>
          <w:p w14:paraId="2546BDB2" w14:textId="77777777" w:rsidR="002D4D94" w:rsidRPr="008F480E" w:rsidRDefault="00000000" w:rsidP="003041FD">
            <w:pPr>
              <w:spacing w:before="120" w:after="120"/>
              <w:rPr>
                <w:rFonts w:asciiTheme="minorHAnsi" w:hAnsiTheme="minorHAnsi"/>
                <w:color w:val="auto"/>
              </w:rPr>
            </w:pPr>
            <w:hyperlink r:id="rId37" w:history="1">
              <w:r w:rsidR="002D4D94" w:rsidRPr="008F480E">
                <w:rPr>
                  <w:rStyle w:val="Hyperlink"/>
                  <w:rFonts w:asciiTheme="minorHAnsi" w:hAnsiTheme="minorHAnsi"/>
                  <w:i/>
                  <w:iCs/>
                  <w:color w:val="auto"/>
                </w:rPr>
                <w:t>WA’s $5M youth homelessness effort is ramping up. Is it working?</w:t>
              </w:r>
              <w:r w:rsidR="002D4D94" w:rsidRPr="008F480E">
                <w:rPr>
                  <w:rStyle w:val="Hyperlink"/>
                  <w:rFonts w:asciiTheme="minorHAnsi" w:hAnsiTheme="minorHAnsi"/>
                  <w:color w:val="auto"/>
                </w:rPr>
                <w:t xml:space="preserve"> | Crosscut</w:t>
              </w:r>
            </w:hyperlink>
          </w:p>
        </w:tc>
        <w:tc>
          <w:tcPr>
            <w:tcW w:w="7371" w:type="dxa"/>
          </w:tcPr>
          <w:p w14:paraId="25E81EF2"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Key initiatives include:</w:t>
            </w:r>
          </w:p>
          <w:p w14:paraId="54F7F61D" w14:textId="547E73AF"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 xml:space="preserve">Courts as </w:t>
            </w:r>
            <w:r w:rsidRPr="008F480E">
              <w:rPr>
                <w:rStyle w:val="normaltextrun"/>
                <w:rFonts w:cs="Calibri"/>
                <w:color w:val="auto"/>
                <w:sz w:val="20"/>
                <w:shd w:val="clear" w:color="auto" w:fill="FFFFFF"/>
              </w:rPr>
              <w:t>identification</w:t>
            </w:r>
            <w:r w:rsidRPr="008F480E">
              <w:rPr>
                <w:color w:val="auto"/>
                <w:sz w:val="20"/>
              </w:rPr>
              <w:t xml:space="preserve"> pathways for </w:t>
            </w:r>
            <w:r w:rsidR="002A35FF" w:rsidRPr="008F480E">
              <w:rPr>
                <w:color w:val="auto"/>
                <w:sz w:val="20"/>
              </w:rPr>
              <w:t>high-risk</w:t>
            </w:r>
            <w:r w:rsidRPr="008F480E">
              <w:rPr>
                <w:color w:val="auto"/>
                <w:sz w:val="20"/>
              </w:rPr>
              <w:t xml:space="preserve"> young people</w:t>
            </w:r>
          </w:p>
          <w:p w14:paraId="47A9AC53"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 xml:space="preserve">Use data </w:t>
            </w:r>
            <w:r w:rsidRPr="008F480E">
              <w:rPr>
                <w:rStyle w:val="normaltextrun"/>
                <w:rFonts w:cs="Calibri"/>
                <w:color w:val="auto"/>
                <w:sz w:val="20"/>
                <w:shd w:val="clear" w:color="auto" w:fill="FFFFFF"/>
              </w:rPr>
              <w:t>routinely</w:t>
            </w:r>
            <w:r w:rsidRPr="008F480E">
              <w:rPr>
                <w:color w:val="auto"/>
                <w:sz w:val="20"/>
              </w:rPr>
              <w:t xml:space="preserve"> collected by courts assessing young person’s history to gauge risk. Refers high-risk to a navigator, who can connect them to resources.</w:t>
            </w:r>
          </w:p>
          <w:p w14:paraId="5344B44F" w14:textId="77777777" w:rsidR="002D4D94" w:rsidRPr="008F480E" w:rsidRDefault="002D4D94" w:rsidP="003041FD">
            <w:pPr>
              <w:pStyle w:val="ListBullet"/>
              <w:numPr>
                <w:ilvl w:val="0"/>
                <w:numId w:val="1"/>
              </w:numPr>
              <w:tabs>
                <w:tab w:val="clear" w:pos="714"/>
              </w:tabs>
              <w:suppressAutoHyphens w:val="0"/>
              <w:ind w:left="357"/>
              <w:rPr>
                <w:rFonts w:cs="Calibri"/>
                <w:color w:val="auto"/>
                <w:kern w:val="24"/>
                <w:sz w:val="20"/>
              </w:rPr>
            </w:pPr>
            <w:r w:rsidRPr="008F480E">
              <w:rPr>
                <w:color w:val="auto"/>
                <w:sz w:val="20"/>
              </w:rPr>
              <w:t>System of Care grants: Provide cash assistance to young people to overcome common barriers when leaving state system, e.g. clothing for a job interview, school supplies, rent.</w:t>
            </w:r>
          </w:p>
          <w:p w14:paraId="0DC61178" w14:textId="77777777" w:rsidR="002D4D94" w:rsidRPr="008F480E" w:rsidRDefault="002D4D94" w:rsidP="003041FD">
            <w:pPr>
              <w:pStyle w:val="ListBullet"/>
              <w:numPr>
                <w:ilvl w:val="0"/>
                <w:numId w:val="1"/>
              </w:numPr>
              <w:tabs>
                <w:tab w:val="clear" w:pos="714"/>
              </w:tabs>
              <w:suppressAutoHyphens w:val="0"/>
              <w:ind w:left="357"/>
              <w:rPr>
                <w:rFonts w:cs="Calibri"/>
                <w:color w:val="auto"/>
                <w:kern w:val="24"/>
                <w:sz w:val="20"/>
              </w:rPr>
            </w:pPr>
            <w:r w:rsidRPr="008F480E">
              <w:rPr>
                <w:color w:val="auto"/>
                <w:sz w:val="20"/>
              </w:rPr>
              <w:t>Rapid response: Rapid response team to triage and connect young person to services including legal aid, housing support, family reconciliation services after discharge from a state system (starting while still in scheme). Note, this is Washington. Relabelled as Youth and Young Adult Housing Response Team.</w:t>
            </w:r>
          </w:p>
        </w:tc>
      </w:tr>
      <w:tr w:rsidR="002D4D94" w:rsidRPr="008F480E" w14:paraId="773203F7" w14:textId="77777777" w:rsidTr="00425036">
        <w:trPr>
          <w:trHeight w:val="3628"/>
        </w:trPr>
        <w:tc>
          <w:tcPr>
            <w:tcW w:w="2547" w:type="dxa"/>
          </w:tcPr>
          <w:p w14:paraId="3F3399B5" w14:textId="067BF790" w:rsidR="002D4D94" w:rsidRPr="008F480E" w:rsidRDefault="002D4D94" w:rsidP="003041FD">
            <w:pPr>
              <w:autoSpaceDE w:val="0"/>
              <w:autoSpaceDN w:val="0"/>
              <w:adjustRightInd w:val="0"/>
              <w:spacing w:before="120" w:after="120"/>
              <w:rPr>
                <w:rFonts w:asciiTheme="minorHAnsi" w:hAnsiTheme="minorHAnsi" w:cs="Avenir-Book"/>
                <w:i/>
                <w:iCs/>
                <w:color w:val="auto"/>
              </w:rPr>
            </w:pPr>
            <w:r w:rsidRPr="008F480E">
              <w:rPr>
                <w:rFonts w:asciiTheme="minorHAnsi" w:hAnsiTheme="minorHAnsi" w:cs="Avenir-Book"/>
                <w:i/>
                <w:iCs/>
                <w:color w:val="auto"/>
              </w:rPr>
              <w:t>Submission</w:t>
            </w:r>
            <w:r w:rsidR="00BE7D67" w:rsidRPr="008F480E">
              <w:rPr>
                <w:rFonts w:asciiTheme="minorHAnsi" w:hAnsiTheme="minorHAnsi" w:cs="Avenir-Book"/>
                <w:i/>
                <w:iCs/>
                <w:color w:val="auto"/>
              </w:rPr>
              <w:t xml:space="preserve"> to</w:t>
            </w:r>
          </w:p>
          <w:p w14:paraId="7B4A1A34" w14:textId="77777777" w:rsidR="00BE7D67" w:rsidRPr="008F480E" w:rsidRDefault="002D4D94" w:rsidP="003041FD">
            <w:pPr>
              <w:spacing w:before="120" w:after="120"/>
              <w:rPr>
                <w:rFonts w:asciiTheme="minorHAnsi" w:hAnsiTheme="minorHAnsi" w:cs="Avenir-Book"/>
                <w:i/>
                <w:iCs/>
                <w:color w:val="auto"/>
              </w:rPr>
            </w:pPr>
            <w:r w:rsidRPr="008F480E">
              <w:rPr>
                <w:rFonts w:asciiTheme="minorHAnsi" w:hAnsiTheme="minorHAnsi" w:cs="Avenir-Book"/>
                <w:i/>
                <w:iCs/>
                <w:color w:val="auto"/>
              </w:rPr>
              <w:t>National Housing &amp; Homelessness Plan Issues Paper</w:t>
            </w:r>
            <w:r w:rsidR="00BE7D67" w:rsidRPr="008F480E">
              <w:rPr>
                <w:rFonts w:asciiTheme="minorHAnsi" w:hAnsiTheme="minorHAnsi" w:cs="Avenir-Book"/>
                <w:i/>
                <w:iCs/>
                <w:color w:val="auto"/>
              </w:rPr>
              <w:t xml:space="preserve"> </w:t>
            </w:r>
          </w:p>
          <w:p w14:paraId="399C99FC" w14:textId="1E38921D" w:rsidR="002D4D94" w:rsidRPr="008F480E" w:rsidRDefault="00BE7D67" w:rsidP="003041FD">
            <w:pPr>
              <w:spacing w:before="120" w:after="120"/>
              <w:rPr>
                <w:rFonts w:asciiTheme="minorHAnsi" w:hAnsiTheme="minorHAnsi"/>
                <w:color w:val="auto"/>
              </w:rPr>
            </w:pPr>
            <w:r w:rsidRPr="008F480E">
              <w:rPr>
                <w:rFonts w:asciiTheme="minorHAnsi" w:hAnsiTheme="minorHAnsi" w:cs="Avenir-Book"/>
                <w:color w:val="auto"/>
              </w:rPr>
              <w:t>Yfoundations</w:t>
            </w:r>
          </w:p>
        </w:tc>
        <w:tc>
          <w:tcPr>
            <w:tcW w:w="7371" w:type="dxa"/>
          </w:tcPr>
          <w:p w14:paraId="47CC323C"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Key proposals include:</w:t>
            </w:r>
          </w:p>
          <w:p w14:paraId="7FB011E4" w14:textId="1228DD1D" w:rsidR="002D4D94" w:rsidRPr="008F480E" w:rsidRDefault="002D4D94" w:rsidP="003041FD">
            <w:pPr>
              <w:pStyle w:val="ListBullet"/>
              <w:numPr>
                <w:ilvl w:val="0"/>
                <w:numId w:val="1"/>
              </w:numPr>
              <w:tabs>
                <w:tab w:val="clear" w:pos="714"/>
              </w:tabs>
              <w:suppressAutoHyphens w:val="0"/>
              <w:ind w:left="357"/>
              <w:rPr>
                <w:rFonts w:cs="Avenir-Book"/>
                <w:color w:val="auto"/>
                <w:sz w:val="20"/>
              </w:rPr>
            </w:pPr>
            <w:r w:rsidRPr="008F480E">
              <w:rPr>
                <w:color w:val="auto"/>
                <w:sz w:val="20"/>
              </w:rPr>
              <w:t xml:space="preserve">Expand COSS model to more </w:t>
            </w:r>
            <w:r w:rsidRPr="008F480E">
              <w:rPr>
                <w:rFonts w:cs="Avenir-Book"/>
                <w:color w:val="auto"/>
                <w:sz w:val="20"/>
              </w:rPr>
              <w:t>communities</w:t>
            </w:r>
            <w:r w:rsidR="002A35FF">
              <w:rPr>
                <w:rFonts w:cs="Avenir-Book"/>
                <w:color w:val="auto"/>
                <w:sz w:val="20"/>
              </w:rPr>
              <w:t>.</w:t>
            </w:r>
          </w:p>
          <w:p w14:paraId="20AB5FD3" w14:textId="77777777" w:rsidR="002D4D94" w:rsidRPr="008F480E" w:rsidRDefault="002D4D94" w:rsidP="003041FD">
            <w:pPr>
              <w:pStyle w:val="ListBullet"/>
              <w:numPr>
                <w:ilvl w:val="0"/>
                <w:numId w:val="1"/>
              </w:numPr>
              <w:tabs>
                <w:tab w:val="clear" w:pos="714"/>
              </w:tabs>
              <w:suppressAutoHyphens w:val="0"/>
              <w:ind w:left="357"/>
              <w:rPr>
                <w:rFonts w:cs="Avenir-Book"/>
                <w:color w:val="auto"/>
                <w:sz w:val="20"/>
              </w:rPr>
            </w:pPr>
            <w:r w:rsidRPr="008F480E">
              <w:rPr>
                <w:rFonts w:cs="Avenir-Book"/>
                <w:color w:val="auto"/>
                <w:sz w:val="20"/>
              </w:rPr>
              <w:t>Rapid mental health supports: Better access to mental health services where children and young people with serious issues such as suicide ideation are not having to wait for six months to get an appointment as we are hearing from regional areas.</w:t>
            </w:r>
          </w:p>
          <w:p w14:paraId="6987EF33" w14:textId="44B76186" w:rsidR="002D4D94" w:rsidRPr="008F480E" w:rsidRDefault="002D4D94" w:rsidP="003041FD">
            <w:pPr>
              <w:pStyle w:val="ListBullet"/>
              <w:numPr>
                <w:ilvl w:val="0"/>
                <w:numId w:val="1"/>
              </w:numPr>
              <w:tabs>
                <w:tab w:val="clear" w:pos="714"/>
              </w:tabs>
              <w:suppressAutoHyphens w:val="0"/>
              <w:ind w:left="357"/>
              <w:rPr>
                <w:rFonts w:cs="Avenir-Book"/>
                <w:color w:val="auto"/>
                <w:sz w:val="20"/>
              </w:rPr>
            </w:pPr>
            <w:r w:rsidRPr="008F480E">
              <w:rPr>
                <w:rFonts w:cs="Avenir-Book"/>
                <w:color w:val="auto"/>
                <w:sz w:val="20"/>
              </w:rPr>
              <w:t>Family mediation and reunification services: Supports focused on vulnerable young people, such as the reunification element of Homelessness Youth Assistance Program (HYAP) or Ruby’s</w:t>
            </w:r>
            <w:r w:rsidR="002A35FF">
              <w:rPr>
                <w:rFonts w:cs="Avenir-Book"/>
                <w:color w:val="auto"/>
                <w:sz w:val="20"/>
              </w:rPr>
              <w:t>.</w:t>
            </w:r>
          </w:p>
          <w:p w14:paraId="1EF077A8" w14:textId="77777777" w:rsidR="002D4D94" w:rsidRPr="008F480E" w:rsidRDefault="002D4D94" w:rsidP="003041FD">
            <w:pPr>
              <w:pStyle w:val="ListBullet"/>
              <w:numPr>
                <w:ilvl w:val="0"/>
                <w:numId w:val="1"/>
              </w:numPr>
              <w:tabs>
                <w:tab w:val="clear" w:pos="714"/>
              </w:tabs>
              <w:suppressAutoHyphens w:val="0"/>
              <w:ind w:left="357"/>
              <w:rPr>
                <w:rFonts w:cs="Avenir-Book"/>
                <w:color w:val="auto"/>
                <w:sz w:val="20"/>
              </w:rPr>
            </w:pPr>
            <w:r w:rsidRPr="008F480E">
              <w:rPr>
                <w:rFonts w:cs="Avenir-Book"/>
                <w:color w:val="auto"/>
                <w:sz w:val="20"/>
              </w:rPr>
              <w:t>Leaving OOHC: Require that young people leaving OOHC are monitored for accommodation at point of exit and at regular periods thereafter.</w:t>
            </w:r>
          </w:p>
          <w:p w14:paraId="0A2B32BD" w14:textId="77777777" w:rsidR="002D4D94" w:rsidRPr="008F480E" w:rsidRDefault="002D4D94" w:rsidP="003041FD">
            <w:pPr>
              <w:pStyle w:val="ListBullet"/>
              <w:numPr>
                <w:ilvl w:val="0"/>
                <w:numId w:val="1"/>
              </w:numPr>
              <w:tabs>
                <w:tab w:val="clear" w:pos="714"/>
              </w:tabs>
              <w:suppressAutoHyphens w:val="0"/>
              <w:ind w:left="357"/>
              <w:rPr>
                <w:rFonts w:cs="Avenir-Book"/>
                <w:color w:val="auto"/>
                <w:sz w:val="20"/>
              </w:rPr>
            </w:pPr>
            <w:r w:rsidRPr="008F480E">
              <w:rPr>
                <w:rFonts w:cs="Avenir-Book"/>
                <w:color w:val="auto"/>
                <w:sz w:val="20"/>
              </w:rPr>
              <w:t>Child protection + OOHC responses for older children and young people: Improved OOHC responses particularly for children and young people who are older and often not considered a priority or at risk of significant harm.</w:t>
            </w:r>
          </w:p>
          <w:p w14:paraId="364633CF" w14:textId="77777777" w:rsidR="002D4D94" w:rsidRPr="008F480E" w:rsidRDefault="002D4D94" w:rsidP="003041FD">
            <w:pPr>
              <w:pStyle w:val="ListBullet"/>
              <w:numPr>
                <w:ilvl w:val="0"/>
                <w:numId w:val="1"/>
              </w:numPr>
              <w:tabs>
                <w:tab w:val="clear" w:pos="714"/>
              </w:tabs>
              <w:suppressAutoHyphens w:val="0"/>
              <w:ind w:left="357"/>
              <w:rPr>
                <w:rFonts w:cs="Avenir-Book"/>
                <w:color w:val="auto"/>
                <w:sz w:val="20"/>
              </w:rPr>
            </w:pPr>
            <w:r w:rsidRPr="008F480E">
              <w:rPr>
                <w:rFonts w:cs="Avenir-Book"/>
                <w:color w:val="auto"/>
                <w:sz w:val="20"/>
              </w:rPr>
              <w:t>Improved accommodation-based diversions and exits for young people from youth justice: Improved and expanded supportive accommodation-</w:t>
            </w:r>
            <w:r w:rsidRPr="008F480E">
              <w:rPr>
                <w:rFonts w:cs="Avenir-Book"/>
                <w:color w:val="auto"/>
                <w:sz w:val="20"/>
              </w:rPr>
              <w:lastRenderedPageBreak/>
              <w:t>based options as diversion from youth justice. Improved and expanded supported exits for young people from youth justice.</w:t>
            </w:r>
          </w:p>
          <w:p w14:paraId="3E3E5A0D" w14:textId="77777777" w:rsidR="002D4D94" w:rsidRPr="008F480E" w:rsidRDefault="002D4D94" w:rsidP="003041FD">
            <w:pPr>
              <w:pStyle w:val="ListBullet"/>
              <w:numPr>
                <w:ilvl w:val="0"/>
                <w:numId w:val="1"/>
              </w:numPr>
              <w:tabs>
                <w:tab w:val="clear" w:pos="714"/>
              </w:tabs>
              <w:suppressAutoHyphens w:val="0"/>
              <w:ind w:left="357"/>
              <w:rPr>
                <w:rFonts w:cs="Avenir-Book"/>
                <w:color w:val="auto"/>
                <w:sz w:val="20"/>
              </w:rPr>
            </w:pPr>
            <w:r w:rsidRPr="008F480E">
              <w:rPr>
                <w:color w:val="auto"/>
                <w:sz w:val="20"/>
              </w:rPr>
              <w:t>Increased NDIS access:</w:t>
            </w:r>
            <w:r w:rsidRPr="008F480E">
              <w:rPr>
                <w:color w:val="auto"/>
                <w:sz w:val="20"/>
                <w:lang w:val="en-GB"/>
              </w:rPr>
              <w:t xml:space="preserve"> Make facilitating access to NDIS supports a priority in crisis and medium-term supportive accommodation. </w:t>
            </w:r>
            <w:r w:rsidRPr="008F480E">
              <w:rPr>
                <w:rFonts w:cs="Avenir-Book"/>
                <w:color w:val="auto"/>
                <w:sz w:val="20"/>
              </w:rPr>
              <w:t>Better access to supported exits into the National Disability Insurance Scheme (NDIS) where appropriate.</w:t>
            </w:r>
          </w:p>
          <w:p w14:paraId="791173FE" w14:textId="77777777" w:rsidR="002D4D94" w:rsidRPr="008F480E" w:rsidRDefault="002D4D94" w:rsidP="003041FD">
            <w:pPr>
              <w:pStyle w:val="ListBullet"/>
              <w:numPr>
                <w:ilvl w:val="0"/>
                <w:numId w:val="1"/>
              </w:numPr>
              <w:tabs>
                <w:tab w:val="clear" w:pos="714"/>
              </w:tabs>
              <w:suppressAutoHyphens w:val="0"/>
              <w:ind w:left="357"/>
              <w:rPr>
                <w:rFonts w:cs="Avenir-Book"/>
                <w:color w:val="auto"/>
                <w:sz w:val="20"/>
              </w:rPr>
            </w:pPr>
            <w:r w:rsidRPr="008F480E">
              <w:rPr>
                <w:rFonts w:cs="Avenir-Book"/>
                <w:color w:val="auto"/>
                <w:sz w:val="20"/>
              </w:rPr>
              <w:t>Specialised responses and crisis accommodation for young people experiencing DFV.</w:t>
            </w:r>
          </w:p>
          <w:p w14:paraId="2D9BDE39" w14:textId="77777777" w:rsidR="002D4D94" w:rsidRPr="008F480E" w:rsidRDefault="002D4D94" w:rsidP="003041FD">
            <w:pPr>
              <w:pStyle w:val="ListBullet"/>
              <w:numPr>
                <w:ilvl w:val="0"/>
                <w:numId w:val="1"/>
              </w:numPr>
              <w:tabs>
                <w:tab w:val="clear" w:pos="714"/>
              </w:tabs>
              <w:suppressAutoHyphens w:val="0"/>
              <w:ind w:left="357"/>
              <w:rPr>
                <w:rFonts w:cs="Avenir-Book"/>
                <w:color w:val="auto"/>
                <w:sz w:val="20"/>
              </w:rPr>
            </w:pPr>
            <w:r w:rsidRPr="008F480E">
              <w:rPr>
                <w:rFonts w:cs="Avenir-Book"/>
                <w:color w:val="auto"/>
                <w:sz w:val="20"/>
              </w:rPr>
              <w:t>An increase in crisis beds so children and young people know they have a place to sleep tonight when their situation is desperate and dangerous.</w:t>
            </w:r>
          </w:p>
          <w:p w14:paraId="4FA8E96D" w14:textId="77777777" w:rsidR="002D4D94" w:rsidRPr="008F480E" w:rsidRDefault="002D4D94" w:rsidP="003041FD">
            <w:pPr>
              <w:pStyle w:val="ListBullet"/>
              <w:numPr>
                <w:ilvl w:val="0"/>
                <w:numId w:val="1"/>
              </w:numPr>
              <w:tabs>
                <w:tab w:val="clear" w:pos="714"/>
              </w:tabs>
              <w:suppressAutoHyphens w:val="0"/>
              <w:ind w:left="357"/>
              <w:rPr>
                <w:rFonts w:cs="Avenir-Book"/>
                <w:color w:val="auto"/>
                <w:sz w:val="20"/>
              </w:rPr>
            </w:pPr>
            <w:r w:rsidRPr="008F480E">
              <w:rPr>
                <w:rFonts w:cs="Avenir-Book"/>
                <w:color w:val="auto"/>
                <w:sz w:val="20"/>
              </w:rPr>
              <w:t>Exit options from crisis accommodation such as transitional housing (for 2-5 years) and medium-term housing (a higher level of support for those with more complex needs for about two years). These exit options will also provide longer term options for young people who currently refuge hop every three months due to time restrictions imposed on service providers.</w:t>
            </w:r>
          </w:p>
          <w:p w14:paraId="1E0FE7B2" w14:textId="77777777" w:rsidR="002D4D94" w:rsidRPr="008F480E" w:rsidRDefault="002D4D94" w:rsidP="003041FD">
            <w:pPr>
              <w:pStyle w:val="ListBullet"/>
              <w:numPr>
                <w:ilvl w:val="0"/>
                <w:numId w:val="1"/>
              </w:numPr>
              <w:tabs>
                <w:tab w:val="clear" w:pos="714"/>
              </w:tabs>
              <w:suppressAutoHyphens w:val="0"/>
              <w:ind w:left="357"/>
              <w:rPr>
                <w:color w:val="auto"/>
                <w:sz w:val="20"/>
                <w:lang w:val="en-GB"/>
              </w:rPr>
            </w:pPr>
            <w:r w:rsidRPr="008F480E">
              <w:rPr>
                <w:rFonts w:cs="Avenir-Book"/>
                <w:color w:val="auto"/>
                <w:sz w:val="20"/>
              </w:rPr>
              <w:t>Exit options from crisis accommodation such as transitional housing (for 2-5 years) and medium-term housing (a higher level of support for those with more complex needs for about two years). These exit options will also provide longer term options for young people who currently refuge hop every three months due to time restrictions imposed on service providers.</w:t>
            </w:r>
            <w:r w:rsidRPr="008F480E">
              <w:rPr>
                <w:color w:val="auto"/>
                <w:sz w:val="20"/>
                <w:lang w:val="en-GB"/>
              </w:rPr>
              <w:t xml:space="preserve"> </w:t>
            </w:r>
          </w:p>
          <w:p w14:paraId="63385D1F" w14:textId="4A25302A" w:rsidR="002D4D94" w:rsidRPr="008F480E" w:rsidRDefault="002D4D94" w:rsidP="003041FD">
            <w:pPr>
              <w:pStyle w:val="ListBullet"/>
              <w:numPr>
                <w:ilvl w:val="0"/>
                <w:numId w:val="1"/>
              </w:numPr>
              <w:tabs>
                <w:tab w:val="clear" w:pos="714"/>
              </w:tabs>
              <w:suppressAutoHyphens w:val="0"/>
              <w:autoSpaceDE w:val="0"/>
              <w:autoSpaceDN w:val="0"/>
              <w:adjustRightInd w:val="0"/>
              <w:ind w:left="357"/>
              <w:rPr>
                <w:rFonts w:cs="Avenir-Book"/>
                <w:color w:val="auto"/>
                <w:sz w:val="20"/>
              </w:rPr>
            </w:pPr>
            <w:r w:rsidRPr="008F480E">
              <w:rPr>
                <w:color w:val="auto"/>
                <w:sz w:val="20"/>
                <w:lang w:val="en-GB"/>
              </w:rPr>
              <w:t>Integrate Youth Foyers into the exit pathways for young people leaving SHS</w:t>
            </w:r>
            <w:r w:rsidR="002A35FF">
              <w:rPr>
                <w:color w:val="auto"/>
                <w:sz w:val="20"/>
                <w:lang w:val="en-GB"/>
              </w:rPr>
              <w:t>.</w:t>
            </w:r>
          </w:p>
          <w:p w14:paraId="045956B7" w14:textId="77777777" w:rsidR="002D4D94" w:rsidRPr="008F480E" w:rsidRDefault="002D4D94" w:rsidP="003041FD">
            <w:pPr>
              <w:pStyle w:val="ListBullet"/>
              <w:numPr>
                <w:ilvl w:val="0"/>
                <w:numId w:val="1"/>
              </w:numPr>
              <w:tabs>
                <w:tab w:val="clear" w:pos="714"/>
              </w:tabs>
              <w:suppressAutoHyphens w:val="0"/>
              <w:autoSpaceDE w:val="0"/>
              <w:autoSpaceDN w:val="0"/>
              <w:adjustRightInd w:val="0"/>
              <w:ind w:left="357"/>
              <w:rPr>
                <w:rFonts w:cs="Avenir-Book"/>
                <w:color w:val="auto"/>
                <w:sz w:val="20"/>
              </w:rPr>
            </w:pPr>
            <w:r w:rsidRPr="008F480E">
              <w:rPr>
                <w:rFonts w:cs="Avenir-Book"/>
                <w:color w:val="auto"/>
                <w:sz w:val="20"/>
              </w:rPr>
              <w:t>More affordable and social housing for young people. Rarely is public and community housing quarantined for young people as other cohorts are often prioritised.</w:t>
            </w:r>
          </w:p>
          <w:p w14:paraId="726065E5" w14:textId="77777777" w:rsidR="002D4D94" w:rsidRPr="008F480E" w:rsidRDefault="002D4D94" w:rsidP="003041FD">
            <w:pPr>
              <w:pStyle w:val="ListBullet"/>
              <w:numPr>
                <w:ilvl w:val="0"/>
                <w:numId w:val="1"/>
              </w:numPr>
              <w:tabs>
                <w:tab w:val="clear" w:pos="714"/>
              </w:tabs>
              <w:suppressAutoHyphens w:val="0"/>
              <w:ind w:left="357"/>
              <w:rPr>
                <w:rFonts w:cs="Avenir-Book"/>
                <w:color w:val="auto"/>
                <w:sz w:val="20"/>
              </w:rPr>
            </w:pPr>
            <w:r w:rsidRPr="008F480E">
              <w:rPr>
                <w:rFonts w:cs="Avenir-Book"/>
                <w:color w:val="auto"/>
                <w:sz w:val="20"/>
              </w:rPr>
              <w:t>More social housing for young people to live in permanently if they are not suitable for the private rental market due to high and complex needs.</w:t>
            </w:r>
          </w:p>
        </w:tc>
      </w:tr>
      <w:tr w:rsidR="002D4D94" w:rsidRPr="008F480E" w14:paraId="0902424B" w14:textId="77777777" w:rsidTr="00425036">
        <w:tc>
          <w:tcPr>
            <w:tcW w:w="2547" w:type="dxa"/>
          </w:tcPr>
          <w:p w14:paraId="54CF0BA5" w14:textId="77777777" w:rsidR="002D4D94" w:rsidRPr="008F480E" w:rsidRDefault="00000000" w:rsidP="003041FD">
            <w:pPr>
              <w:spacing w:before="120" w:after="120"/>
              <w:rPr>
                <w:rStyle w:val="normaltextrun"/>
                <w:rFonts w:asciiTheme="minorHAnsi" w:hAnsiTheme="minorHAnsi"/>
                <w:color w:val="auto"/>
                <w:shd w:val="clear" w:color="auto" w:fill="FFFFFF"/>
              </w:rPr>
            </w:pPr>
            <w:hyperlink r:id="rId38" w:history="1">
              <w:r w:rsidR="002D4D94" w:rsidRPr="008F480E">
                <w:rPr>
                  <w:rStyle w:val="Hyperlink"/>
                  <w:rFonts w:asciiTheme="minorHAnsi" w:hAnsiTheme="minorHAnsi"/>
                  <w:color w:val="auto"/>
                  <w:shd w:val="clear" w:color="auto" w:fill="FFFFFF"/>
                </w:rPr>
                <w:t>Young, in trouble and with nowhere to go</w:t>
              </w:r>
            </w:hyperlink>
          </w:p>
        </w:tc>
        <w:tc>
          <w:tcPr>
            <w:tcW w:w="7371" w:type="dxa"/>
          </w:tcPr>
          <w:p w14:paraId="25FEAEF5"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Key proposals in the report include:</w:t>
            </w:r>
          </w:p>
          <w:p w14:paraId="368AA3B4"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Bail Act reform: Remove the offence of breaching a bail condition for juveniles.</w:t>
            </w:r>
          </w:p>
          <w:p w14:paraId="7FB6FACA"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 xml:space="preserve">Public data on homeless adolescents in detention: NSW Government to collect and publish data on the housing status of adolescents entering and leaving detention, the number of homeless adolescents detailed, and the length of time young people are detailed. </w:t>
            </w:r>
          </w:p>
          <w:p w14:paraId="29C025C0"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 xml:space="preserve">Policy to support homeless adolescents in detention: Youth Justice, Child Protection, SHS providers, NGOs, and peaks to develop policy to identify responsibilities to support homeless adolescents in sentenced and unsentenced detention with a focus on securing housing options for young people quickly. </w:t>
            </w:r>
          </w:p>
          <w:p w14:paraId="4B74EEB9"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Bail support for young people: Supports to prevent adolescents from entering or staying in detention due to homelessness:</w:t>
            </w:r>
          </w:p>
          <w:p w14:paraId="5FF6FCFB" w14:textId="3A0169C5" w:rsidR="002D4D94" w:rsidRPr="008F480E" w:rsidRDefault="002D4D94" w:rsidP="00B13429">
            <w:pPr>
              <w:pStyle w:val="ListParagraph"/>
              <w:numPr>
                <w:ilvl w:val="1"/>
                <w:numId w:val="30"/>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t>Expand Bail Assistance Line to all-hours service</w:t>
            </w:r>
            <w:r w:rsidR="002A35FF">
              <w:rPr>
                <w:rFonts w:asciiTheme="minorHAnsi" w:hAnsiTheme="minorHAnsi"/>
                <w:color w:val="auto"/>
                <w:lang w:val="en-GB"/>
              </w:rPr>
              <w:t>.</w:t>
            </w:r>
          </w:p>
          <w:p w14:paraId="215417DB" w14:textId="446D8E85" w:rsidR="002D4D94" w:rsidRPr="008F480E" w:rsidRDefault="002D4D94" w:rsidP="00B13429">
            <w:pPr>
              <w:pStyle w:val="ListParagraph"/>
              <w:numPr>
                <w:ilvl w:val="1"/>
                <w:numId w:val="30"/>
              </w:numPr>
              <w:suppressAutoHyphens w:val="0"/>
              <w:spacing w:before="120" w:after="120"/>
              <w:contextualSpacing w:val="0"/>
              <w:rPr>
                <w:rFonts w:asciiTheme="minorHAnsi" w:hAnsiTheme="minorHAnsi"/>
                <w:color w:val="auto"/>
              </w:rPr>
            </w:pPr>
            <w:r w:rsidRPr="008F480E">
              <w:rPr>
                <w:rFonts w:asciiTheme="minorHAnsi" w:hAnsiTheme="minorHAnsi"/>
                <w:color w:val="auto"/>
                <w:lang w:val="en-GB"/>
              </w:rPr>
              <w:t>Increase SHS contracts to secure housing options and avoid young people entering detention</w:t>
            </w:r>
            <w:r w:rsidR="002A35FF">
              <w:rPr>
                <w:rFonts w:asciiTheme="minorHAnsi" w:hAnsiTheme="minorHAnsi"/>
                <w:color w:val="auto"/>
                <w:lang w:val="en-GB"/>
              </w:rPr>
              <w:t>.</w:t>
            </w:r>
          </w:p>
          <w:p w14:paraId="3223EAE6" w14:textId="0FB596F9" w:rsidR="002D4D94" w:rsidRPr="008F480E" w:rsidRDefault="002D4D94" w:rsidP="00B13429">
            <w:pPr>
              <w:pStyle w:val="ListParagraph"/>
              <w:numPr>
                <w:ilvl w:val="1"/>
                <w:numId w:val="30"/>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t>Fund Aboriginal-specific bail accommodation</w:t>
            </w:r>
            <w:r w:rsidR="002A35FF">
              <w:rPr>
                <w:rFonts w:asciiTheme="minorHAnsi" w:hAnsiTheme="minorHAnsi"/>
                <w:color w:val="auto"/>
                <w:lang w:val="en-GB"/>
              </w:rPr>
              <w:t>.</w:t>
            </w:r>
            <w:r w:rsidRPr="008F480E">
              <w:rPr>
                <w:rFonts w:asciiTheme="minorHAnsi" w:hAnsiTheme="minorHAnsi"/>
                <w:color w:val="auto"/>
                <w:lang w:val="en-GB"/>
              </w:rPr>
              <w:t xml:space="preserve"> </w:t>
            </w:r>
          </w:p>
          <w:p w14:paraId="26F75831"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lastRenderedPageBreak/>
              <w:t>Intensive family interventions: Supports reunification with families where possible for young people on community orders and when leaving detention.</w:t>
            </w:r>
          </w:p>
          <w:p w14:paraId="79FF1315"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Increase diverse housing options to best house and support young people with complex needs:</w:t>
            </w:r>
          </w:p>
          <w:p w14:paraId="498C112D" w14:textId="77777777" w:rsidR="002D4D94" w:rsidRPr="008F480E" w:rsidRDefault="002D4D94" w:rsidP="00B13429">
            <w:pPr>
              <w:pStyle w:val="ListParagraph"/>
              <w:numPr>
                <w:ilvl w:val="1"/>
                <w:numId w:val="30"/>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t>Therapeutic foster care</w:t>
            </w:r>
          </w:p>
          <w:p w14:paraId="1D7BD1A1" w14:textId="77777777" w:rsidR="002D4D94" w:rsidRPr="008F480E" w:rsidRDefault="002D4D94" w:rsidP="00B13429">
            <w:pPr>
              <w:pStyle w:val="ListParagraph"/>
              <w:numPr>
                <w:ilvl w:val="1"/>
                <w:numId w:val="30"/>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t>Therapeutic residential care</w:t>
            </w:r>
          </w:p>
          <w:p w14:paraId="3225BEA4" w14:textId="77777777" w:rsidR="002D4D94" w:rsidRPr="008F480E" w:rsidRDefault="002D4D94" w:rsidP="00B13429">
            <w:pPr>
              <w:pStyle w:val="ListParagraph"/>
              <w:numPr>
                <w:ilvl w:val="1"/>
                <w:numId w:val="30"/>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t>AOD rehabilitation programs</w:t>
            </w:r>
          </w:p>
          <w:p w14:paraId="6D0F7969" w14:textId="77777777" w:rsidR="002D4D94" w:rsidRPr="008F480E" w:rsidRDefault="002D4D94" w:rsidP="00B13429">
            <w:pPr>
              <w:pStyle w:val="ListParagraph"/>
              <w:numPr>
                <w:ilvl w:val="1"/>
                <w:numId w:val="30"/>
              </w:numPr>
              <w:suppressAutoHyphens w:val="0"/>
              <w:spacing w:before="120" w:after="120"/>
              <w:contextualSpacing w:val="0"/>
              <w:rPr>
                <w:rFonts w:asciiTheme="minorHAnsi" w:hAnsiTheme="minorHAnsi"/>
                <w:color w:val="auto"/>
                <w:lang w:val="en-GB"/>
              </w:rPr>
            </w:pPr>
            <w:r w:rsidRPr="008F480E">
              <w:rPr>
                <w:rFonts w:asciiTheme="minorHAnsi" w:hAnsiTheme="minorHAnsi"/>
                <w:color w:val="auto"/>
                <w:lang w:val="en-GB"/>
              </w:rPr>
              <w:t>Adapted placements for Aboriginal adolescents</w:t>
            </w:r>
          </w:p>
          <w:p w14:paraId="05B19733" w14:textId="77777777" w:rsidR="002D4D94" w:rsidRPr="008F480E" w:rsidRDefault="002D4D94" w:rsidP="00B13429">
            <w:pPr>
              <w:pStyle w:val="ListParagraph"/>
              <w:numPr>
                <w:ilvl w:val="1"/>
                <w:numId w:val="30"/>
              </w:numPr>
              <w:suppressAutoHyphens w:val="0"/>
              <w:spacing w:before="120" w:after="120"/>
              <w:contextualSpacing w:val="0"/>
              <w:rPr>
                <w:rStyle w:val="normaltextrun"/>
                <w:rFonts w:asciiTheme="minorHAnsi" w:hAnsiTheme="minorHAnsi" w:cs="Avenir-Book"/>
                <w:color w:val="auto"/>
              </w:rPr>
            </w:pPr>
            <w:r w:rsidRPr="008F480E">
              <w:rPr>
                <w:rFonts w:asciiTheme="minorHAnsi" w:hAnsiTheme="minorHAnsi"/>
                <w:color w:val="auto"/>
                <w:lang w:val="en-GB"/>
              </w:rPr>
              <w:t>All with a focus on recovering and reunifying with family.</w:t>
            </w:r>
          </w:p>
        </w:tc>
      </w:tr>
      <w:tr w:rsidR="002D4D94" w:rsidRPr="008F480E" w14:paraId="2D1FE1D8" w14:textId="77777777" w:rsidTr="00425036">
        <w:tc>
          <w:tcPr>
            <w:tcW w:w="2547" w:type="dxa"/>
          </w:tcPr>
          <w:p w14:paraId="36B5E4A7" w14:textId="77777777" w:rsidR="002D4D94" w:rsidRPr="008F480E" w:rsidRDefault="002D4D94" w:rsidP="003041FD">
            <w:pPr>
              <w:spacing w:before="120" w:after="120"/>
              <w:rPr>
                <w:rFonts w:asciiTheme="minorHAnsi" w:hAnsiTheme="minorHAnsi" w:cs="Avenir-Book"/>
                <w:color w:val="auto"/>
              </w:rPr>
            </w:pPr>
            <w:r w:rsidRPr="008F480E">
              <w:rPr>
                <w:rFonts w:asciiTheme="minorHAnsi" w:hAnsiTheme="minorHAnsi"/>
                <w:color w:val="auto"/>
              </w:rPr>
              <w:lastRenderedPageBreak/>
              <w:t>Youth Development Australia, A strategy to end youth homelessness: solutions-focused advocacy in action</w:t>
            </w:r>
          </w:p>
        </w:tc>
        <w:tc>
          <w:tcPr>
            <w:tcW w:w="7371" w:type="dxa"/>
          </w:tcPr>
          <w:p w14:paraId="7B11B75A" w14:textId="464BD825" w:rsidR="002D4D94" w:rsidRPr="008F480E" w:rsidRDefault="002D4D94" w:rsidP="003041FD">
            <w:pPr>
              <w:spacing w:before="120" w:after="120"/>
              <w:rPr>
                <w:rFonts w:asciiTheme="minorHAnsi" w:hAnsiTheme="minorHAnsi"/>
                <w:color w:val="auto"/>
                <w:lang w:val="en-GB"/>
              </w:rPr>
            </w:pPr>
            <w:r w:rsidRPr="008F480E">
              <w:rPr>
                <w:rFonts w:asciiTheme="minorHAnsi" w:hAnsiTheme="minorHAnsi"/>
                <w:color w:val="auto"/>
                <w:lang w:val="en-GB"/>
              </w:rPr>
              <w:t>Plan proposed by National Youth Homelessness Conference include</w:t>
            </w:r>
            <w:r w:rsidR="008D4171">
              <w:rPr>
                <w:rFonts w:asciiTheme="minorHAnsi" w:hAnsiTheme="minorHAnsi"/>
                <w:color w:val="auto"/>
                <w:lang w:val="en-GB"/>
              </w:rPr>
              <w:t>s</w:t>
            </w:r>
            <w:r w:rsidRPr="008F480E">
              <w:rPr>
                <w:rFonts w:asciiTheme="minorHAnsi" w:hAnsiTheme="minorHAnsi"/>
                <w:color w:val="auto"/>
                <w:lang w:val="en-GB"/>
              </w:rPr>
              <w:t>:</w:t>
            </w:r>
          </w:p>
          <w:p w14:paraId="71B3EBFB" w14:textId="63438228"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Early intervention to stem the flow of young people into homelessness</w:t>
            </w:r>
            <w:r w:rsidR="002A35FF">
              <w:rPr>
                <w:color w:val="auto"/>
                <w:sz w:val="20"/>
              </w:rPr>
              <w:t>.</w:t>
            </w:r>
          </w:p>
          <w:p w14:paraId="1E70F8CB" w14:textId="2FE51F56"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Rapid rehousing and a rethink of social housing for youth as well as an explicit consideration of the needs of young people in national housing and homelessness agreements</w:t>
            </w:r>
            <w:r w:rsidR="002A35FF">
              <w:rPr>
                <w:color w:val="auto"/>
                <w:sz w:val="20"/>
              </w:rPr>
              <w:t>.</w:t>
            </w:r>
          </w:p>
          <w:p w14:paraId="59356D70" w14:textId="03EFE1D0" w:rsidR="00106D80"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Engagement in a different approach to ‘achieve the best possible education, training and employment outcomes possible’ in the rapidly changing world of wor</w:t>
            </w:r>
            <w:r w:rsidR="008D4171">
              <w:rPr>
                <w:color w:val="auto"/>
                <w:sz w:val="20"/>
              </w:rPr>
              <w:t>k</w:t>
            </w:r>
            <w:r w:rsidR="002A35FF">
              <w:rPr>
                <w:color w:val="auto"/>
                <w:sz w:val="20"/>
              </w:rPr>
              <w:t>.</w:t>
            </w:r>
          </w:p>
          <w:p w14:paraId="368BD2B9" w14:textId="77777777"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lang w:eastAsia="en-AU"/>
              </w:rPr>
              <w:t>Extending state care support for young people leaving care at age 18 to at least 21 years.</w:t>
            </w:r>
          </w:p>
        </w:tc>
      </w:tr>
      <w:tr w:rsidR="002D4D94" w:rsidRPr="008F480E" w14:paraId="7BA9EBD9" w14:textId="77777777" w:rsidTr="00425036">
        <w:tc>
          <w:tcPr>
            <w:tcW w:w="2547" w:type="dxa"/>
          </w:tcPr>
          <w:p w14:paraId="30583B1E" w14:textId="73A7C7BE" w:rsidR="00FC5EF7" w:rsidRPr="008F480E" w:rsidRDefault="002D4D94" w:rsidP="003041FD">
            <w:pPr>
              <w:spacing w:before="120" w:after="120"/>
              <w:rPr>
                <w:rFonts w:asciiTheme="minorHAnsi" w:hAnsiTheme="minorHAnsi" w:cs="Avenir-Book"/>
                <w:i/>
                <w:iCs/>
                <w:color w:val="auto"/>
              </w:rPr>
            </w:pPr>
            <w:r w:rsidRPr="008F480E">
              <w:rPr>
                <w:rFonts w:asciiTheme="minorHAnsi" w:hAnsiTheme="minorHAnsi" w:cs="Avenir-Book"/>
                <w:i/>
                <w:iCs/>
                <w:color w:val="auto"/>
              </w:rPr>
              <w:t>Regional Homelessness Strategy - FINAL (May 2023)</w:t>
            </w:r>
            <w:r w:rsidR="00FC5EF7" w:rsidRPr="008F480E">
              <w:rPr>
                <w:rFonts w:asciiTheme="minorHAnsi" w:hAnsiTheme="minorHAnsi" w:cs="Avenir-Book"/>
                <w:i/>
                <w:iCs/>
                <w:color w:val="auto"/>
              </w:rPr>
              <w:t xml:space="preserve"> </w:t>
            </w:r>
          </w:p>
          <w:p w14:paraId="3B27DEC1" w14:textId="2E092835" w:rsidR="002D4D94" w:rsidRPr="008F480E" w:rsidRDefault="00FC5EF7" w:rsidP="003041FD">
            <w:pPr>
              <w:spacing w:before="120" w:after="120"/>
              <w:rPr>
                <w:rFonts w:asciiTheme="minorHAnsi" w:hAnsiTheme="minorHAnsi"/>
                <w:color w:val="auto"/>
              </w:rPr>
            </w:pPr>
            <w:r w:rsidRPr="008F480E">
              <w:rPr>
                <w:rFonts w:asciiTheme="minorHAnsi" w:hAnsiTheme="minorHAnsi" w:cs="Avenir-Book"/>
                <w:color w:val="auto"/>
              </w:rPr>
              <w:t>Youth Justice NSW</w:t>
            </w:r>
          </w:p>
        </w:tc>
        <w:tc>
          <w:tcPr>
            <w:tcW w:w="7371" w:type="dxa"/>
          </w:tcPr>
          <w:p w14:paraId="0399704D"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Key initiatives in the Strategy include:</w:t>
            </w:r>
          </w:p>
          <w:p w14:paraId="3075F9D0" w14:textId="409653DC"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Bail and Accommodation Support Service/Open panel for Regional NSW: To engage new accommodation providers in locations of emerging need</w:t>
            </w:r>
            <w:r w:rsidR="008D4171">
              <w:rPr>
                <w:color w:val="auto"/>
                <w:sz w:val="20"/>
              </w:rPr>
              <w:t>.</w:t>
            </w:r>
            <w:r w:rsidRPr="008F480E">
              <w:rPr>
                <w:color w:val="auto"/>
                <w:sz w:val="20"/>
              </w:rPr>
              <w:t xml:space="preserve"> </w:t>
            </w:r>
          </w:p>
          <w:p w14:paraId="38FD711C" w14:textId="621BF6F6"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 xml:space="preserve">Aboriginal </w:t>
            </w:r>
            <w:r w:rsidR="008D4171" w:rsidRPr="008F480E">
              <w:rPr>
                <w:color w:val="auto"/>
                <w:sz w:val="20"/>
              </w:rPr>
              <w:t>place-based</w:t>
            </w:r>
            <w:r w:rsidRPr="008F480E">
              <w:rPr>
                <w:color w:val="auto"/>
                <w:sz w:val="20"/>
              </w:rPr>
              <w:t xml:space="preserve"> pilot: Culturally safe Youth Justice accommodation models for Aboriginal YP</w:t>
            </w:r>
            <w:r w:rsidR="008D4171">
              <w:rPr>
                <w:color w:val="auto"/>
                <w:sz w:val="20"/>
              </w:rPr>
              <w:t>.</w:t>
            </w:r>
            <w:r w:rsidRPr="008F480E">
              <w:rPr>
                <w:color w:val="auto"/>
                <w:sz w:val="20"/>
              </w:rPr>
              <w:t xml:space="preserve"> </w:t>
            </w:r>
          </w:p>
          <w:p w14:paraId="6DE92320" w14:textId="65DE259D"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SHS targets for YJNSW placements: SHS contracts to include activity-based funding models to include numerical targets for YJNSW placements</w:t>
            </w:r>
            <w:r w:rsidR="008D4171">
              <w:rPr>
                <w:color w:val="auto"/>
                <w:sz w:val="20"/>
              </w:rPr>
              <w:t>.</w:t>
            </w:r>
          </w:p>
          <w:p w14:paraId="23F5684E" w14:textId="1655E79B"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AOD Detox unit and Rural Rehab transition: Examine feasibility of expanding Western NSW example to Far North Coast</w:t>
            </w:r>
            <w:r w:rsidR="008D4171">
              <w:rPr>
                <w:color w:val="auto"/>
                <w:sz w:val="20"/>
              </w:rPr>
              <w:t>.</w:t>
            </w:r>
            <w:r w:rsidRPr="008F480E">
              <w:rPr>
                <w:color w:val="auto"/>
                <w:sz w:val="20"/>
              </w:rPr>
              <w:t xml:space="preserve"> </w:t>
            </w:r>
          </w:p>
          <w:p w14:paraId="18AF3E8C" w14:textId="78A2EA8A" w:rsidR="002D4D94" w:rsidRPr="008F480E" w:rsidRDefault="002D4D94" w:rsidP="003041FD">
            <w:pPr>
              <w:pStyle w:val="ListBullet"/>
              <w:numPr>
                <w:ilvl w:val="0"/>
                <w:numId w:val="1"/>
              </w:numPr>
              <w:tabs>
                <w:tab w:val="clear" w:pos="714"/>
              </w:tabs>
              <w:suppressAutoHyphens w:val="0"/>
              <w:ind w:left="357"/>
              <w:rPr>
                <w:color w:val="auto"/>
                <w:sz w:val="20"/>
              </w:rPr>
            </w:pPr>
            <w:r w:rsidRPr="008F480E">
              <w:rPr>
                <w:color w:val="auto"/>
                <w:sz w:val="20"/>
              </w:rPr>
              <w:t>Expand Bail Support Team: Expansion of current Far West model to Far North Coast</w:t>
            </w:r>
            <w:r w:rsidR="008D4171">
              <w:rPr>
                <w:color w:val="auto"/>
                <w:sz w:val="20"/>
              </w:rPr>
              <w:t>.</w:t>
            </w:r>
          </w:p>
          <w:p w14:paraId="15FF3BE8"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Create a panel to advise on design, implementation and evaluation of policies and initiatives across Youth Justice, including homelessness and housing responses.</w:t>
            </w:r>
          </w:p>
        </w:tc>
      </w:tr>
      <w:tr w:rsidR="002D4D94" w:rsidRPr="008F480E" w14:paraId="26F75AEC" w14:textId="77777777" w:rsidTr="00425036">
        <w:tc>
          <w:tcPr>
            <w:tcW w:w="2547" w:type="dxa"/>
            <w:shd w:val="clear" w:color="auto" w:fill="FACCD5" w:themeFill="text2" w:themeFillTint="33"/>
          </w:tcPr>
          <w:p w14:paraId="40C9E95B" w14:textId="77777777" w:rsidR="002D4D94" w:rsidRPr="008F480E" w:rsidRDefault="002D4D94" w:rsidP="003041FD">
            <w:pPr>
              <w:spacing w:before="120" w:after="120"/>
              <w:rPr>
                <w:rFonts w:asciiTheme="minorHAnsi" w:hAnsiTheme="minorHAnsi"/>
                <w:b/>
                <w:bCs/>
                <w:color w:val="auto"/>
              </w:rPr>
            </w:pPr>
            <w:r w:rsidRPr="008F480E">
              <w:rPr>
                <w:rFonts w:asciiTheme="minorHAnsi" w:hAnsiTheme="minorHAnsi"/>
                <w:b/>
                <w:bCs/>
                <w:color w:val="auto"/>
              </w:rPr>
              <w:t>Data</w:t>
            </w:r>
          </w:p>
        </w:tc>
        <w:tc>
          <w:tcPr>
            <w:tcW w:w="7371" w:type="dxa"/>
            <w:shd w:val="clear" w:color="auto" w:fill="FACCD5" w:themeFill="text2" w:themeFillTint="33"/>
          </w:tcPr>
          <w:p w14:paraId="1D0A15E9" w14:textId="77777777" w:rsidR="002D4D94" w:rsidRPr="008F480E" w:rsidRDefault="002D4D94" w:rsidP="003041FD">
            <w:pPr>
              <w:spacing w:before="120" w:after="120"/>
              <w:rPr>
                <w:rFonts w:asciiTheme="minorHAnsi" w:hAnsiTheme="minorHAnsi"/>
                <w:color w:val="auto"/>
              </w:rPr>
            </w:pPr>
          </w:p>
        </w:tc>
      </w:tr>
      <w:tr w:rsidR="002D4D94" w:rsidRPr="008F480E" w14:paraId="0476EA70" w14:textId="77777777" w:rsidTr="00425036">
        <w:tc>
          <w:tcPr>
            <w:tcW w:w="2547" w:type="dxa"/>
          </w:tcPr>
          <w:p w14:paraId="7A67C9F3"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AIHW 2021-22 SHS Report</w:t>
            </w:r>
          </w:p>
        </w:tc>
        <w:tc>
          <w:tcPr>
            <w:tcW w:w="7371" w:type="dxa"/>
          </w:tcPr>
          <w:p w14:paraId="7ABB74A5" w14:textId="0ECEDFE8"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Data on NSW and Australia service usage including young people. Key elements include clients and support periods by age and gender, educational engagement, reasons for seeking assistance, vulnerabilities, and unassisted requests.</w:t>
            </w:r>
          </w:p>
        </w:tc>
      </w:tr>
      <w:tr w:rsidR="002D4D94" w:rsidRPr="008F480E" w14:paraId="29B54578" w14:textId="77777777" w:rsidTr="00425036">
        <w:tc>
          <w:tcPr>
            <w:tcW w:w="2547" w:type="dxa"/>
          </w:tcPr>
          <w:p w14:paraId="610C6DFA"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Census 2021 Homelessness Findings</w:t>
            </w:r>
          </w:p>
        </w:tc>
        <w:tc>
          <w:tcPr>
            <w:tcW w:w="7371" w:type="dxa"/>
          </w:tcPr>
          <w:p w14:paraId="34E3FEDD" w14:textId="0EE0028A"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 xml:space="preserve">Data on NSW and Australia prevalence and nature of homeless. Key elements </w:t>
            </w:r>
            <w:r w:rsidR="002A35FF" w:rsidRPr="008F480E">
              <w:rPr>
                <w:rFonts w:asciiTheme="minorHAnsi" w:hAnsiTheme="minorHAnsi"/>
                <w:color w:val="auto"/>
              </w:rPr>
              <w:t>include</w:t>
            </w:r>
            <w:r w:rsidRPr="008F480E">
              <w:rPr>
                <w:rFonts w:asciiTheme="minorHAnsi" w:hAnsiTheme="minorHAnsi"/>
                <w:color w:val="auto"/>
              </w:rPr>
              <w:t xml:space="preserve"> number and rate of homelessness by age group over time, operational group (current housing situation).</w:t>
            </w:r>
          </w:p>
        </w:tc>
      </w:tr>
      <w:tr w:rsidR="002D4D94" w:rsidRPr="008F480E" w14:paraId="36D72619" w14:textId="77777777" w:rsidTr="00425036">
        <w:tc>
          <w:tcPr>
            <w:tcW w:w="2547" w:type="dxa"/>
          </w:tcPr>
          <w:p w14:paraId="2A36D6A0"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lastRenderedPageBreak/>
              <w:t>NSW Youth SHS Data Summaries</w:t>
            </w:r>
          </w:p>
        </w:tc>
        <w:tc>
          <w:tcPr>
            <w:tcW w:w="7371" w:type="dxa"/>
          </w:tcPr>
          <w:p w14:paraId="14D47D49" w14:textId="77777777" w:rsidR="002D4D94" w:rsidRPr="008F480E" w:rsidRDefault="002D4D94" w:rsidP="003041FD">
            <w:pPr>
              <w:spacing w:before="120" w:after="120"/>
              <w:rPr>
                <w:rFonts w:asciiTheme="minorHAnsi" w:hAnsiTheme="minorHAnsi"/>
                <w:color w:val="auto"/>
              </w:rPr>
            </w:pPr>
            <w:r w:rsidRPr="008F480E">
              <w:rPr>
                <w:rFonts w:asciiTheme="minorHAnsi" w:hAnsiTheme="minorHAnsi"/>
                <w:color w:val="auto"/>
              </w:rPr>
              <w:t>NSW data on SHS youth services. Key elements include age and identity cohorts, geographic distribution.</w:t>
            </w:r>
          </w:p>
        </w:tc>
      </w:tr>
    </w:tbl>
    <w:p w14:paraId="76DD58FB" w14:textId="77777777" w:rsidR="002D4D94" w:rsidRPr="006156FF" w:rsidRDefault="002D4D94" w:rsidP="002D4D94">
      <w:pPr>
        <w:tabs>
          <w:tab w:val="left" w:pos="5895"/>
        </w:tabs>
        <w:rPr>
          <w:rFonts w:asciiTheme="minorHAnsi" w:hAnsiTheme="minorHAnsi"/>
          <w:color w:val="auto"/>
          <w:sz w:val="18"/>
          <w:szCs w:val="18"/>
        </w:rPr>
      </w:pPr>
    </w:p>
    <w:sectPr w:rsidR="002D4D94" w:rsidRPr="006156FF" w:rsidSect="001158E0">
      <w:footerReference w:type="default" r:id="rId39"/>
      <w:headerReference w:type="first" r:id="rId40"/>
      <w:footerReference w:type="first" r:id="rId41"/>
      <w:endnotePr>
        <w:numFmt w:val="decimal"/>
      </w:endnotePr>
      <w:pgSz w:w="11906" w:h="16838" w:code="9"/>
      <w:pgMar w:top="851" w:right="851" w:bottom="85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9BE354" w14:textId="77777777" w:rsidR="005C4B3E" w:rsidRDefault="005C4B3E" w:rsidP="00921FD3">
      <w:r>
        <w:separator/>
      </w:r>
    </w:p>
    <w:p w14:paraId="5D6CDCDD" w14:textId="77777777" w:rsidR="005C4B3E" w:rsidRDefault="005C4B3E"/>
    <w:p w14:paraId="3461F1D6" w14:textId="77777777" w:rsidR="005C4B3E" w:rsidRDefault="005C4B3E"/>
  </w:endnote>
  <w:endnote w:type="continuationSeparator" w:id="0">
    <w:p w14:paraId="6451FBFD" w14:textId="77777777" w:rsidR="005C4B3E" w:rsidRDefault="005C4B3E" w:rsidP="00921FD3">
      <w:r>
        <w:continuationSeparator/>
      </w:r>
    </w:p>
    <w:p w14:paraId="383D0555" w14:textId="77777777" w:rsidR="005C4B3E" w:rsidRDefault="005C4B3E"/>
    <w:p w14:paraId="1802615A" w14:textId="77777777" w:rsidR="005C4B3E" w:rsidRDefault="005C4B3E"/>
  </w:endnote>
  <w:endnote w:type="continuationNotice" w:id="1">
    <w:p w14:paraId="5331ABA3" w14:textId="77777777" w:rsidR="005C4B3E" w:rsidRDefault="005C4B3E"/>
  </w:endnote>
  <w:endnote w:id="2">
    <w:p w14:paraId="6C41079B" w14:textId="77777777" w:rsidR="00025C38" w:rsidRPr="001334AB" w:rsidRDefault="00025C38" w:rsidP="00025C38">
      <w:pPr>
        <w:pStyle w:val="EndnoteText"/>
        <w:rPr>
          <w:rFonts w:asciiTheme="minorHAnsi" w:hAnsiTheme="minorHAnsi"/>
          <w:color w:val="auto"/>
          <w:sz w:val="16"/>
          <w:szCs w:val="16"/>
        </w:rPr>
      </w:pPr>
      <w:r w:rsidRPr="00F40C82">
        <w:rPr>
          <w:rStyle w:val="EndnoteReference"/>
          <w:rFonts w:asciiTheme="minorHAnsi" w:hAnsiTheme="minorHAnsi"/>
          <w:color w:val="auto"/>
          <w:sz w:val="16"/>
          <w:szCs w:val="16"/>
        </w:rPr>
        <w:endnoteRef/>
      </w:r>
      <w:r w:rsidRPr="00F40C82">
        <w:rPr>
          <w:rFonts w:asciiTheme="minorHAnsi" w:hAnsiTheme="minorHAnsi"/>
          <w:color w:val="auto"/>
          <w:sz w:val="16"/>
          <w:szCs w:val="16"/>
        </w:rPr>
        <w:t xml:space="preserve"> Teixeira L, McSweeney R, Jonsson S, Russell D &amp; Lacey A (2020) The Share Framework: A smarter way to send homelessness; Centre for </w:t>
      </w:r>
      <w:r w:rsidRPr="001334AB">
        <w:rPr>
          <w:rFonts w:asciiTheme="minorHAnsi" w:hAnsiTheme="minorHAnsi"/>
          <w:color w:val="auto"/>
          <w:sz w:val="16"/>
          <w:szCs w:val="16"/>
        </w:rPr>
        <w:t xml:space="preserve">Homelessness Impact </w:t>
      </w:r>
      <w:hyperlink r:id="rId1" w:history="1">
        <w:r w:rsidRPr="001334AB">
          <w:rPr>
            <w:rFonts w:asciiTheme="minorHAnsi" w:hAnsiTheme="minorHAnsi"/>
            <w:color w:val="auto"/>
            <w:sz w:val="16"/>
            <w:szCs w:val="16"/>
            <w:u w:val="single"/>
          </w:rPr>
          <w:t>5e4515966e788a7f6fce9c93_SHARE_report_Feb13.pdf (website-files.com)</w:t>
        </w:r>
      </w:hyperlink>
    </w:p>
  </w:endnote>
  <w:endnote w:id="3">
    <w:p w14:paraId="15CDC3A4" w14:textId="77777777" w:rsidR="00025C38" w:rsidRPr="001334AB" w:rsidRDefault="00025C38" w:rsidP="00025C38">
      <w:pPr>
        <w:pStyle w:val="EndnoteText"/>
        <w:rPr>
          <w:rFonts w:asciiTheme="minorHAnsi" w:hAnsiTheme="minorHAnsi"/>
          <w:color w:val="auto"/>
          <w:sz w:val="16"/>
          <w:szCs w:val="16"/>
        </w:rPr>
      </w:pPr>
      <w:r w:rsidRPr="001334AB">
        <w:rPr>
          <w:rStyle w:val="EndnoteReference"/>
          <w:color w:val="auto"/>
        </w:rPr>
        <w:endnoteRef/>
      </w:r>
      <w:r w:rsidRPr="001334AB">
        <w:rPr>
          <w:color w:val="auto"/>
        </w:rPr>
        <w:t xml:space="preserve"> </w:t>
      </w:r>
      <w:r w:rsidRPr="001334AB">
        <w:rPr>
          <w:rFonts w:asciiTheme="minorHAnsi" w:hAnsiTheme="minorHAnsi"/>
          <w:color w:val="auto"/>
          <w:sz w:val="16"/>
          <w:szCs w:val="16"/>
        </w:rPr>
        <w:t>See, for example, Homelessness NSW (2023) Rare, brief and non-recurring: A system wide approach to ending homelessness together, at https://homelessnessnsw.org.au/rare-brief-and-non-recurring-a-system-wide-approach-to-ending-homelessness-together/</w:t>
      </w:r>
    </w:p>
  </w:endnote>
  <w:endnote w:id="4">
    <w:p w14:paraId="5BA3AD26" w14:textId="145B2B62" w:rsidR="003F71FE" w:rsidRPr="003041FD" w:rsidRDefault="003F71FE" w:rsidP="003F71F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Brackertz et al., Housing, homelessness and mental health: towards systems change, Australian Housing and Urban Research Institute, 2018. Available at: </w:t>
      </w:r>
      <w:hyperlink r:id="rId2" w:history="1">
        <w:r w:rsidRPr="003041FD">
          <w:rPr>
            <w:rStyle w:val="Hyperlink"/>
            <w:rFonts w:asciiTheme="minorHAnsi" w:hAnsiTheme="minorHAnsi"/>
            <w:color w:val="auto"/>
            <w:sz w:val="16"/>
            <w:szCs w:val="16"/>
          </w:rPr>
          <w:t>https://www.ahuri.edu.au/housing/trajectories/Housing-homelessness-and-mental-health-towards-systems-change</w:t>
        </w:r>
      </w:hyperlink>
      <w:r w:rsidRPr="003041FD">
        <w:rPr>
          <w:rFonts w:asciiTheme="minorHAnsi" w:hAnsiTheme="minorHAnsi"/>
          <w:color w:val="auto"/>
          <w:sz w:val="16"/>
          <w:szCs w:val="16"/>
        </w:rPr>
        <w:t xml:space="preserve"> </w:t>
      </w:r>
    </w:p>
  </w:endnote>
  <w:endnote w:id="5">
    <w:p w14:paraId="783D3D55" w14:textId="5D1AA5C4" w:rsidR="005B6F37" w:rsidRPr="00B13429" w:rsidRDefault="005B6F37">
      <w:pPr>
        <w:pStyle w:val="EndnoteText"/>
        <w:rPr>
          <w:rFonts w:asciiTheme="minorHAnsi" w:hAnsiTheme="minorHAnsi"/>
          <w:color w:val="auto"/>
          <w:sz w:val="16"/>
          <w:szCs w:val="16"/>
        </w:rPr>
      </w:pPr>
      <w:r w:rsidRPr="00B13429">
        <w:rPr>
          <w:rStyle w:val="EndnoteReference"/>
          <w:rFonts w:asciiTheme="minorHAnsi" w:hAnsiTheme="minorHAnsi"/>
          <w:color w:val="auto"/>
          <w:sz w:val="16"/>
          <w:szCs w:val="16"/>
        </w:rPr>
        <w:endnoteRef/>
      </w:r>
      <w:r w:rsidRPr="00B13429">
        <w:rPr>
          <w:rFonts w:asciiTheme="minorHAnsi" w:hAnsiTheme="minorHAnsi"/>
          <w:color w:val="auto"/>
          <w:sz w:val="16"/>
          <w:szCs w:val="16"/>
        </w:rPr>
        <w:t xml:space="preserve"> </w:t>
      </w:r>
      <w:r w:rsidR="00B13429" w:rsidRPr="00B13429">
        <w:rPr>
          <w:rFonts w:asciiTheme="minorHAnsi" w:hAnsiTheme="minorHAnsi"/>
          <w:color w:val="auto"/>
          <w:sz w:val="16"/>
          <w:szCs w:val="16"/>
        </w:rPr>
        <w:t xml:space="preserve">AHURI (Feb 2023) </w:t>
      </w:r>
      <w:hyperlink r:id="rId3" w:history="1">
        <w:r w:rsidR="00B13429" w:rsidRPr="00B13429">
          <w:rPr>
            <w:rStyle w:val="Hyperlink"/>
            <w:rFonts w:asciiTheme="minorHAnsi" w:hAnsiTheme="minorHAnsi"/>
            <w:color w:val="auto"/>
            <w:sz w:val="16"/>
            <w:szCs w:val="16"/>
          </w:rPr>
          <w:t>What is the difference between social housing and affordable housing - and why do they matter? | AHURI</w:t>
        </w:r>
      </w:hyperlink>
    </w:p>
  </w:endnote>
  <w:endnote w:id="6">
    <w:p w14:paraId="31368490" w14:textId="77777777" w:rsidR="003F71FE" w:rsidRPr="003041FD" w:rsidRDefault="003F71FE" w:rsidP="003F71F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Taylor et al., Evaluation of the Supported Transition and Engagement Program: Final Report, Centre for Evidence and Implementation, 2021.</w:t>
      </w:r>
    </w:p>
  </w:endnote>
  <w:endnote w:id="7">
    <w:p w14:paraId="65A5FD31" w14:textId="77777777" w:rsidR="00106698" w:rsidRPr="003041FD" w:rsidRDefault="00106698" w:rsidP="00106698">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Munthe-Kaas et al., Effectiveness of interventions to reduce homelessness: a systematic review and meta-analysis, 2018.</w:t>
      </w:r>
    </w:p>
  </w:endnote>
  <w:endnote w:id="8">
    <w:p w14:paraId="6EA535FF" w14:textId="77777777" w:rsidR="00106698" w:rsidRPr="003041FD" w:rsidRDefault="00106698" w:rsidP="00106698">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Fitzpatrick, Mackie and Wood, (2021) Advancing a five-stage typology of homelessness prevention,</w:t>
      </w:r>
    </w:p>
    <w:p w14:paraId="53156003" w14:textId="77777777" w:rsidR="00106698" w:rsidRPr="003041FD" w:rsidRDefault="00000000" w:rsidP="00106698">
      <w:pPr>
        <w:pStyle w:val="EndnoteText"/>
        <w:rPr>
          <w:rFonts w:asciiTheme="minorHAnsi" w:hAnsiTheme="minorHAnsi"/>
          <w:color w:val="auto"/>
          <w:sz w:val="16"/>
          <w:szCs w:val="16"/>
        </w:rPr>
      </w:pPr>
      <w:hyperlink r:id="rId4" w:history="1">
        <w:r w:rsidR="00106698" w:rsidRPr="003041FD">
          <w:rPr>
            <w:rStyle w:val="Hyperlink"/>
            <w:rFonts w:asciiTheme="minorHAnsi" w:hAnsiTheme="minorHAnsi"/>
            <w:color w:val="auto"/>
            <w:sz w:val="16"/>
            <w:szCs w:val="16"/>
          </w:rPr>
          <w:t>https://ojs.lib.uwo.ca/index.php/ijoh/article/view/13341/11482</w:t>
        </w:r>
      </w:hyperlink>
    </w:p>
  </w:endnote>
  <w:endnote w:id="9">
    <w:p w14:paraId="76112DFA" w14:textId="77777777" w:rsidR="00106698" w:rsidRPr="003041FD" w:rsidRDefault="00106698" w:rsidP="00106698">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DCJ (2021) Pathways to Homelessness: Final Report December 2021, </w:t>
      </w:r>
      <w:hyperlink r:id="rId5" w:history="1">
        <w:r w:rsidRPr="003041FD">
          <w:rPr>
            <w:rFonts w:asciiTheme="minorHAnsi" w:hAnsiTheme="minorHAnsi"/>
            <w:color w:val="auto"/>
            <w:sz w:val="16"/>
            <w:szCs w:val="16"/>
            <w:u w:val="single"/>
          </w:rPr>
          <w:t>pathways-to-homelessness-final-report-december-2021 (2).pdf</w:t>
        </w:r>
      </w:hyperlink>
    </w:p>
  </w:endnote>
  <w:endnote w:id="10">
    <w:p w14:paraId="47A3B503" w14:textId="77777777" w:rsidR="0003360A" w:rsidRPr="003041FD" w:rsidRDefault="0003360A" w:rsidP="0003360A">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Blunden, H., Wong, B., Bates, S., Cheung, S. Hsieh, W., and Katz, I. (2023). Evaluation of the Universal Screening and Support: Final Report. Social Policy Research Centre, UNSW Sydney.</w:t>
      </w:r>
    </w:p>
  </w:endnote>
  <w:endnote w:id="11">
    <w:p w14:paraId="4C4DFE86" w14:textId="77777777" w:rsidR="00902B84" w:rsidRPr="003041FD" w:rsidRDefault="00902B84" w:rsidP="00902B84">
      <w:pPr>
        <w:rPr>
          <w:rFonts w:asciiTheme="minorHAnsi" w:eastAsia="Times New Roman" w:hAnsiTheme="minorHAnsi" w:cs="Segoe UI"/>
          <w:color w:val="auto"/>
          <w:sz w:val="16"/>
          <w:szCs w:val="16"/>
          <w:lang w:eastAsia="en-AU"/>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Pr="003041FD">
        <w:rPr>
          <w:rFonts w:asciiTheme="minorHAnsi" w:hAnsiTheme="minorHAnsi"/>
          <w:color w:val="auto"/>
          <w:sz w:val="16"/>
          <w:szCs w:val="16"/>
          <w:lang w:val="en-US"/>
        </w:rPr>
        <w:t>Quail, S., Bertram,S., Westermann, G., Rice-Brading, M., and Yorkston, E., Kovac, H., Amatto, J., Coates, B. and Jordan, S. (2023). Evaluation of the Reintegration Housing Support Program: Final Report, Sydney: ARTD Consultants.</w:t>
      </w:r>
      <w:r w:rsidRPr="003041FD">
        <w:rPr>
          <w:rFonts w:asciiTheme="minorHAnsi" w:eastAsia="Times New Roman" w:hAnsiTheme="minorHAnsi" w:cs="Segoe UI"/>
          <w:color w:val="auto"/>
          <w:sz w:val="16"/>
          <w:szCs w:val="16"/>
          <w:lang w:eastAsia="en-AU"/>
        </w:rPr>
        <w:t xml:space="preserve"> </w:t>
      </w:r>
    </w:p>
  </w:endnote>
  <w:endnote w:id="12">
    <w:p w14:paraId="672A448D" w14:textId="77777777" w:rsidR="00902B84" w:rsidRPr="003041FD" w:rsidRDefault="00902B84" w:rsidP="00902B8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Duff, C., Randall, S., Hill, N., Martin, C., Martin, R. (2022) Enhancing the coordination of housing supports for individuals leaving institutional settings, AHURI Final Report No. 379, Australian Housing and Urban Research Institute Limited, Melbourne, </w:t>
      </w:r>
      <w:hyperlink r:id="rId6" w:history="1">
        <w:r w:rsidRPr="003041FD">
          <w:rPr>
            <w:rStyle w:val="Hyperlink"/>
            <w:rFonts w:asciiTheme="minorHAnsi" w:hAnsiTheme="minorHAnsi"/>
            <w:color w:val="auto"/>
            <w:sz w:val="16"/>
            <w:szCs w:val="16"/>
          </w:rPr>
          <w:t>https://www.ahuri.edu.au/research/final-reports/379</w:t>
        </w:r>
      </w:hyperlink>
      <w:r w:rsidRPr="003041FD">
        <w:rPr>
          <w:rFonts w:asciiTheme="minorHAnsi" w:hAnsiTheme="minorHAnsi"/>
          <w:color w:val="auto"/>
          <w:sz w:val="16"/>
          <w:szCs w:val="16"/>
        </w:rPr>
        <w:t xml:space="preserve"> </w:t>
      </w:r>
    </w:p>
  </w:endnote>
  <w:endnote w:id="13">
    <w:p w14:paraId="5B94C850" w14:textId="77777777" w:rsidR="00902B84" w:rsidRPr="003041FD" w:rsidRDefault="00902B84" w:rsidP="00902B8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Martin, R., Cordier, C., Jau, J., Randall, S., Thoresen, S., Ferrante, A., Chavulak, J., Morris, S., Mendes, P., Liddiard, M., Johnson, G., and Chung, D. (2021) Accommodating transition: improving housing outcomes for young people leaving OHC, AHURI Final Report No. 364, Australian Housing and Urban Research Institute Limited, Melbourne, https://www.ahuri.edu.au/research/finalreports/364, doi: 10.18408/ahuri8121301.</w:t>
      </w:r>
    </w:p>
  </w:endnote>
  <w:endnote w:id="14">
    <w:p w14:paraId="75D57EE6" w14:textId="77777777" w:rsidR="00902B84" w:rsidRPr="003041FD" w:rsidRDefault="00902B84" w:rsidP="00902B8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Parliament of Australia House of Representatives Standing Committee on Social Policy and Legal Affairs (2021) </w:t>
      </w:r>
      <w:hyperlink r:id="rId7" w:history="1">
        <w:r w:rsidRPr="003041FD">
          <w:rPr>
            <w:rStyle w:val="Hyperlink"/>
            <w:rFonts w:asciiTheme="minorHAnsi" w:hAnsiTheme="minorHAnsi"/>
            <w:color w:val="auto"/>
            <w:sz w:val="16"/>
            <w:szCs w:val="16"/>
          </w:rPr>
          <w:t>Inquiry into Homelessness in Australia</w:t>
        </w:r>
      </w:hyperlink>
      <w:r w:rsidRPr="003041FD">
        <w:rPr>
          <w:rFonts w:asciiTheme="minorHAnsi" w:hAnsiTheme="minorHAnsi"/>
          <w:color w:val="auto"/>
          <w:sz w:val="16"/>
          <w:szCs w:val="16"/>
        </w:rPr>
        <w:t xml:space="preserve"> </w:t>
      </w:r>
    </w:p>
  </w:endnote>
  <w:endnote w:id="15">
    <w:p w14:paraId="1A723598" w14:textId="77777777" w:rsidR="00902B84" w:rsidRPr="003041FD" w:rsidRDefault="00902B84" w:rsidP="00902B8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Parliament of Australia House of Representatives Standing Committee on Social Policy and Legal Affairs (2021) </w:t>
      </w:r>
      <w:hyperlink r:id="rId8" w:history="1">
        <w:r w:rsidRPr="003041FD">
          <w:rPr>
            <w:rStyle w:val="Hyperlink"/>
            <w:rFonts w:asciiTheme="minorHAnsi" w:hAnsiTheme="minorHAnsi"/>
            <w:color w:val="auto"/>
            <w:sz w:val="16"/>
            <w:szCs w:val="16"/>
          </w:rPr>
          <w:t>Inquiry into Homelessness in Australia</w:t>
        </w:r>
      </w:hyperlink>
    </w:p>
  </w:endnote>
  <w:endnote w:id="16">
    <w:p w14:paraId="2A56EBC3" w14:textId="77777777" w:rsidR="00902B84" w:rsidRPr="003041FD" w:rsidRDefault="00902B84" w:rsidP="00902B8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Stolz and Spinney (2020) A New Place to Call Home, </w:t>
      </w:r>
      <w:hyperlink r:id="rId9" w:history="1">
        <w:r w:rsidRPr="003041FD">
          <w:rPr>
            <w:rFonts w:asciiTheme="minorHAnsi" w:hAnsiTheme="minorHAnsi"/>
            <w:color w:val="auto"/>
            <w:sz w:val="16"/>
            <w:szCs w:val="16"/>
            <w:u w:val="single"/>
          </w:rPr>
          <w:t>A-New-Place-to-Call-Home.pdf (kuc.org.au)</w:t>
        </w:r>
      </w:hyperlink>
    </w:p>
  </w:endnote>
  <w:endnote w:id="17">
    <w:p w14:paraId="639F4E3C" w14:textId="77777777" w:rsidR="00902B84" w:rsidRPr="003041FD" w:rsidRDefault="00902B84" w:rsidP="00902B84">
      <w:pPr>
        <w:rPr>
          <w:rFonts w:asciiTheme="minorHAnsi" w:eastAsia="Times New Roman" w:hAnsiTheme="minorHAnsi" w:cs="Segoe UI"/>
          <w:color w:val="auto"/>
          <w:sz w:val="16"/>
          <w:szCs w:val="16"/>
          <w:lang w:eastAsia="en-AU"/>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Pr="003041FD">
        <w:rPr>
          <w:rFonts w:asciiTheme="minorHAnsi" w:hAnsiTheme="minorHAnsi"/>
          <w:color w:val="auto"/>
          <w:sz w:val="16"/>
          <w:szCs w:val="16"/>
          <w:lang w:val="en-US"/>
        </w:rPr>
        <w:t>Quail, S., Bertram,S., Westermann, G., Rice-Brading, M., and Yorkston, E., Kovac, H., Amatto, J., Coates, B. and Jordan, S. (2023). Evaluation of the Reintegration Housing Support Program: Final Report, Sydney: ARTD Consultants.</w:t>
      </w:r>
      <w:r w:rsidRPr="003041FD">
        <w:rPr>
          <w:rFonts w:asciiTheme="minorHAnsi" w:eastAsia="Times New Roman" w:hAnsiTheme="minorHAnsi" w:cs="Segoe UI"/>
          <w:color w:val="auto"/>
          <w:sz w:val="16"/>
          <w:szCs w:val="16"/>
          <w:lang w:eastAsia="en-AU"/>
        </w:rPr>
        <w:t xml:space="preserve"> </w:t>
      </w:r>
    </w:p>
  </w:endnote>
  <w:endnote w:id="18">
    <w:p w14:paraId="71894F0D" w14:textId="77777777" w:rsidR="00902B84" w:rsidRPr="003041FD" w:rsidRDefault="00902B84" w:rsidP="00902B8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Martin, C., Reeve, R., McCausland, R., Baldry, E., Burton, P., White, R. and Thomas, S. (2021) Exiting prison with complex support needs: the role of housing assistance, AHURI Final Report No. 361, Australian Housing and Urban Research Institute Limited, Melbourne,</w:t>
      </w:r>
    </w:p>
    <w:p w14:paraId="3BAA9E35" w14:textId="77777777" w:rsidR="00902B84" w:rsidRPr="003041FD" w:rsidRDefault="00000000" w:rsidP="00902B84">
      <w:pPr>
        <w:pStyle w:val="EndnoteText"/>
        <w:rPr>
          <w:rFonts w:asciiTheme="minorHAnsi" w:hAnsiTheme="minorHAnsi"/>
          <w:color w:val="auto"/>
          <w:sz w:val="16"/>
          <w:szCs w:val="16"/>
        </w:rPr>
      </w:pPr>
      <w:hyperlink r:id="rId10" w:history="1">
        <w:r w:rsidR="00902B84" w:rsidRPr="003041FD">
          <w:rPr>
            <w:rStyle w:val="Hyperlink"/>
            <w:rFonts w:asciiTheme="minorHAnsi" w:hAnsiTheme="minorHAnsi"/>
            <w:color w:val="auto"/>
            <w:sz w:val="16"/>
            <w:szCs w:val="16"/>
          </w:rPr>
          <w:t>https://www.ahuri.edu.au/research/final-reports/361</w:t>
        </w:r>
      </w:hyperlink>
    </w:p>
  </w:endnote>
  <w:endnote w:id="19">
    <w:p w14:paraId="49446BBB" w14:textId="77777777" w:rsidR="00902B84" w:rsidRPr="003041FD" w:rsidRDefault="00902B84" w:rsidP="00902B84">
      <w:pPr>
        <w:rPr>
          <w:rFonts w:asciiTheme="minorHAnsi" w:eastAsia="Times New Roman" w:hAnsiTheme="minorHAnsi" w:cs="Segoe UI"/>
          <w:color w:val="auto"/>
          <w:sz w:val="16"/>
          <w:szCs w:val="16"/>
          <w:lang w:eastAsia="en-AU"/>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Pr="003041FD">
        <w:rPr>
          <w:rFonts w:asciiTheme="minorHAnsi" w:hAnsiTheme="minorHAnsi"/>
          <w:color w:val="auto"/>
          <w:sz w:val="16"/>
          <w:szCs w:val="16"/>
          <w:lang w:val="en-US"/>
        </w:rPr>
        <w:t xml:space="preserve">Taylor D, Roberts J, Rose V, Gyani A, Harrigan S &amp; Shlonsky A. 2020. Evaluation of the Premier’s Youth Initiative: Final Report, Centre for Evidence and Implementation, Sydney.  </w:t>
      </w:r>
    </w:p>
  </w:endnote>
  <w:endnote w:id="20">
    <w:p w14:paraId="4816B66E" w14:textId="77777777" w:rsidR="00106698" w:rsidRPr="003041FD" w:rsidRDefault="00106698" w:rsidP="00106698">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Mullen et al., Periodic Evaluations of Risk Assessments: Identifying Families for Homelessness Prevention Services</w:t>
      </w:r>
    </w:p>
  </w:endnote>
  <w:endnote w:id="21">
    <w:p w14:paraId="1C871C24" w14:textId="77777777" w:rsidR="00106698" w:rsidRPr="003041FD" w:rsidRDefault="00106698" w:rsidP="00106698">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AHURI, Evaluation of the Homelessness Industry and Workforce Development Strategy, 2022.</w:t>
      </w:r>
    </w:p>
  </w:endnote>
  <w:endnote w:id="22">
    <w:p w14:paraId="3A46E081" w14:textId="77777777" w:rsidR="00764920" w:rsidRPr="003041FD" w:rsidRDefault="00764920" w:rsidP="00764920">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Brown et al., Reliability and Validity of the Vulnerability Index-Service Prioritisation Decision Assistance Tool (VI-SPDAT) in real-world implementation, 2018.</w:t>
      </w:r>
    </w:p>
  </w:endnote>
  <w:endnote w:id="23">
    <w:p w14:paraId="3CFF402E" w14:textId="77777777" w:rsidR="00902B84" w:rsidRPr="003041FD" w:rsidRDefault="00902B84" w:rsidP="00902B8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Australian Alliance to End Homelessness (2023) </w:t>
      </w:r>
      <w:r w:rsidRPr="003041FD">
        <w:rPr>
          <w:rFonts w:asciiTheme="minorHAnsi" w:eastAsia="Apud-Roman" w:hAnsiTheme="minorHAnsi" w:cs="Apud-BoldItalic"/>
          <w:i/>
          <w:iCs/>
          <w:color w:val="auto"/>
          <w:sz w:val="16"/>
          <w:szCs w:val="16"/>
        </w:rPr>
        <w:t>Submission to National Housing and Homelessness Plan Issues Paper - A transformational Plan to End Homelessnes</w:t>
      </w:r>
      <w:r w:rsidRPr="003041FD">
        <w:rPr>
          <w:rFonts w:asciiTheme="minorHAnsi" w:eastAsia="Apud-Roman" w:hAnsiTheme="minorHAnsi" w:cs="Apud-BoldItalic"/>
          <w:b/>
          <w:bCs/>
          <w:i/>
          <w:iCs/>
          <w:color w:val="auto"/>
          <w:sz w:val="16"/>
          <w:szCs w:val="16"/>
        </w:rPr>
        <w:t>s</w:t>
      </w:r>
      <w:r w:rsidRPr="003041FD">
        <w:rPr>
          <w:rFonts w:asciiTheme="minorHAnsi" w:hAnsiTheme="minorHAnsi"/>
          <w:color w:val="auto"/>
          <w:sz w:val="16"/>
          <w:szCs w:val="16"/>
        </w:rPr>
        <w:t>, Adelaide, South Australia</w:t>
      </w:r>
    </w:p>
  </w:endnote>
  <w:endnote w:id="24">
    <w:p w14:paraId="46CDD99E" w14:textId="77777777" w:rsidR="00902B84" w:rsidRPr="003041FD" w:rsidRDefault="00902B84" w:rsidP="00902B84">
      <w:pPr>
        <w:pStyle w:val="EndnoteText"/>
        <w:rPr>
          <w:rFonts w:asciiTheme="minorHAnsi" w:eastAsiaTheme="minorHAnsi" w:hAnsiTheme="minorHAnsi"/>
          <w:color w:val="auto"/>
          <w:kern w:val="2"/>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Pr="003041FD">
        <w:rPr>
          <w:rFonts w:asciiTheme="minorHAnsi" w:eastAsia="Apud-Roman" w:hAnsiTheme="minorHAnsi" w:cs="Apud-Roman"/>
          <w:color w:val="auto"/>
          <w:sz w:val="16"/>
          <w:szCs w:val="16"/>
        </w:rPr>
        <w:t xml:space="preserve">Flatau, P., Lester, L., Seivwright, A., Teal, R., Dobrovic, J., Vallesi, S., Hartley, C. and Callis, Z. (2021). </w:t>
      </w:r>
      <w:r w:rsidRPr="003041FD">
        <w:rPr>
          <w:rFonts w:asciiTheme="minorHAnsi" w:eastAsia="Apud-Roman" w:hAnsiTheme="minorHAnsi" w:cs="Apud-BoldItalic"/>
          <w:i/>
          <w:iCs/>
          <w:color w:val="auto"/>
          <w:sz w:val="16"/>
          <w:szCs w:val="16"/>
        </w:rPr>
        <w:t xml:space="preserve">Ending homelessness in Australia: An evidence and policy deep dive. </w:t>
      </w:r>
      <w:r w:rsidRPr="003041FD">
        <w:rPr>
          <w:rFonts w:asciiTheme="minorHAnsi" w:eastAsia="Apud-Roman" w:hAnsiTheme="minorHAnsi" w:cs="Apud-Roman"/>
          <w:color w:val="auto"/>
          <w:sz w:val="16"/>
          <w:szCs w:val="16"/>
        </w:rPr>
        <w:t>Perth: Centre for Social Impact, The University of Western Australia and the University of New South Wales. DOI: 10.25916/ntba-f006, p.xxi</w:t>
      </w:r>
    </w:p>
  </w:endnote>
  <w:endnote w:id="25">
    <w:p w14:paraId="0B4B1C62" w14:textId="77777777" w:rsidR="00902B84" w:rsidRPr="003041FD" w:rsidRDefault="00902B84" w:rsidP="00902B84">
      <w:pPr>
        <w:autoSpaceDE w:val="0"/>
        <w:autoSpaceDN w:val="0"/>
        <w:adjustRightInd w:val="0"/>
        <w:rPr>
          <w:rFonts w:asciiTheme="minorHAnsi" w:eastAsia="Apud-Roman" w:hAnsiTheme="minorHAnsi" w:cs="Apud-Roman"/>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Pr="003041FD">
        <w:rPr>
          <w:rFonts w:asciiTheme="minorHAnsi" w:eastAsia="Apud-Roman" w:hAnsiTheme="minorHAnsi" w:cs="Apud-Roman"/>
          <w:color w:val="auto"/>
          <w:sz w:val="16"/>
          <w:szCs w:val="16"/>
        </w:rPr>
        <w:t xml:space="preserve">Flatau, P., Lester, L., Seivwright, A., Teal, R., Dobrovic, J., Vallesi, S., Hartley, C. and Callis, Z. (2021). </w:t>
      </w:r>
      <w:r w:rsidRPr="003041FD">
        <w:rPr>
          <w:rFonts w:asciiTheme="minorHAnsi" w:eastAsia="Apud-Roman" w:hAnsiTheme="minorHAnsi" w:cs="Apud-BoldItalic"/>
          <w:i/>
          <w:iCs/>
          <w:color w:val="auto"/>
          <w:sz w:val="16"/>
          <w:szCs w:val="16"/>
        </w:rPr>
        <w:t>Ending homelessness in Australia: An evidence and policy deep dive</w:t>
      </w:r>
      <w:r w:rsidRPr="003041FD">
        <w:rPr>
          <w:rFonts w:asciiTheme="minorHAnsi" w:eastAsia="Apud-Roman" w:hAnsiTheme="minorHAnsi" w:cs="Apud-BoldItalic"/>
          <w:b/>
          <w:bCs/>
          <w:i/>
          <w:iCs/>
          <w:color w:val="auto"/>
          <w:sz w:val="16"/>
          <w:szCs w:val="16"/>
        </w:rPr>
        <w:t xml:space="preserve">. </w:t>
      </w:r>
      <w:r w:rsidRPr="003041FD">
        <w:rPr>
          <w:rFonts w:asciiTheme="minorHAnsi" w:eastAsia="Apud-Roman" w:hAnsiTheme="minorHAnsi" w:cs="Apud-Roman"/>
          <w:color w:val="auto"/>
          <w:sz w:val="16"/>
          <w:szCs w:val="16"/>
        </w:rPr>
        <w:t>Perth: Centre for Social Impact, The University of Western Australia and the University of New South Wales. DOI: 10.25916/ntba-f006, p.23</w:t>
      </w:r>
    </w:p>
  </w:endnote>
  <w:endnote w:id="26">
    <w:p w14:paraId="27FD5D8A" w14:textId="77777777" w:rsidR="00902B84" w:rsidRPr="003041FD" w:rsidRDefault="00902B84" w:rsidP="00902B84">
      <w:pPr>
        <w:pStyle w:val="EndnoteText"/>
        <w:rPr>
          <w:rFonts w:asciiTheme="minorHAnsi" w:eastAsiaTheme="minorHAnsi" w:hAnsiTheme="minorHAnsi"/>
          <w:color w:val="auto"/>
          <w:kern w:val="2"/>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Pr="003041FD">
        <w:rPr>
          <w:rFonts w:asciiTheme="minorHAnsi" w:eastAsia="Apud-Roman" w:hAnsiTheme="minorHAnsi" w:cs="Apud-Roman"/>
          <w:color w:val="auto"/>
          <w:sz w:val="16"/>
          <w:szCs w:val="16"/>
        </w:rPr>
        <w:t xml:space="preserve">Flatau, P., Lester, L., Seivwright, A., Teal, R., Dobrovic, J., Vallesi, S., Hartley, C. and Callis, Z. (2021). </w:t>
      </w:r>
      <w:r w:rsidRPr="003041FD">
        <w:rPr>
          <w:rFonts w:asciiTheme="minorHAnsi" w:eastAsia="Apud-Roman" w:hAnsiTheme="minorHAnsi" w:cs="Apud-BoldItalic"/>
          <w:i/>
          <w:iCs/>
          <w:color w:val="auto"/>
          <w:sz w:val="16"/>
          <w:szCs w:val="16"/>
        </w:rPr>
        <w:t xml:space="preserve">Ending homelessness in Australia: An evidence and policy deep dive. </w:t>
      </w:r>
      <w:r w:rsidRPr="003041FD">
        <w:rPr>
          <w:rFonts w:asciiTheme="minorHAnsi" w:eastAsia="Apud-Roman" w:hAnsiTheme="minorHAnsi" w:cs="Apud-Roman"/>
          <w:color w:val="auto"/>
          <w:sz w:val="16"/>
          <w:szCs w:val="16"/>
        </w:rPr>
        <w:t>Perth: Centre for Social Impact, The University of Western Australia and the University of New South Wales. DOI: 10.25916/ntba-f006, p.23</w:t>
      </w:r>
    </w:p>
  </w:endnote>
  <w:endnote w:id="27">
    <w:p w14:paraId="3DDFF396" w14:textId="77777777" w:rsidR="00902B84" w:rsidRPr="003041FD" w:rsidRDefault="00902B84" w:rsidP="00902B8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Australian Alliance to End Homelessness (2023) </w:t>
      </w:r>
      <w:r w:rsidRPr="003041FD">
        <w:rPr>
          <w:rFonts w:asciiTheme="minorHAnsi" w:eastAsia="Apud-Roman" w:hAnsiTheme="minorHAnsi" w:cs="Apud-BoldItalic"/>
          <w:i/>
          <w:iCs/>
          <w:color w:val="auto"/>
          <w:sz w:val="16"/>
          <w:szCs w:val="16"/>
        </w:rPr>
        <w:t>Submission to National Housing and Homelessness Plan Issues Paper - A transformational Plan to End Homelessness</w:t>
      </w:r>
      <w:r w:rsidRPr="003041FD">
        <w:rPr>
          <w:rFonts w:asciiTheme="minorHAnsi" w:hAnsiTheme="minorHAnsi"/>
          <w:color w:val="auto"/>
          <w:sz w:val="16"/>
          <w:szCs w:val="16"/>
        </w:rPr>
        <w:t>, Adelaide, South Australia</w:t>
      </w:r>
    </w:p>
  </w:endnote>
  <w:endnote w:id="28">
    <w:p w14:paraId="148A6589" w14:textId="77777777" w:rsidR="00902B84" w:rsidRPr="003041FD" w:rsidRDefault="00902B84" w:rsidP="00902B8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shd w:val="clear" w:color="auto" w:fill="FFFFFF" w:themeFill="background1"/>
        </w:rPr>
        <w:t xml:space="preserve"> Batterham, D., Tually, S., Coram, V., McKinley, K., Kolar, V., McNelis, S. and Goodwin-Smith, I. (2023) </w:t>
      </w:r>
      <w:r w:rsidRPr="003041FD">
        <w:rPr>
          <w:rStyle w:val="Emphasis"/>
          <w:rFonts w:asciiTheme="minorHAnsi" w:hAnsiTheme="minorHAnsi"/>
          <w:color w:val="auto"/>
          <w:sz w:val="16"/>
          <w:szCs w:val="16"/>
          <w:bdr w:val="none" w:sz="0" w:space="0" w:color="auto" w:frame="1"/>
          <w:shd w:val="clear" w:color="auto" w:fill="FFFFFF" w:themeFill="background1"/>
        </w:rPr>
        <w:t>Crisis accommodation in Australia: now and for the future</w:t>
      </w:r>
      <w:r w:rsidRPr="003041FD">
        <w:rPr>
          <w:rFonts w:asciiTheme="minorHAnsi" w:hAnsiTheme="minorHAnsi"/>
          <w:color w:val="auto"/>
          <w:sz w:val="16"/>
          <w:szCs w:val="16"/>
          <w:shd w:val="clear" w:color="auto" w:fill="FFFFFF" w:themeFill="background1"/>
        </w:rPr>
        <w:t>, AHURI Final Report No. 407, Australian Housing and Urban Research Institute Limited, Melbourne, https://www.ahuri.edu.au/research/final-reports/407, doi: 10.18408/ahuri5126801.</w:t>
      </w:r>
    </w:p>
  </w:endnote>
  <w:endnote w:id="29">
    <w:p w14:paraId="59023E5B" w14:textId="77777777" w:rsidR="00902B84" w:rsidRPr="003041FD" w:rsidRDefault="00902B84" w:rsidP="00902B8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Lawson, J., Denham, T., Dodson, J., Flanagan, K., Jacobs, K., Martin, C., Nouwelant, R., Pawson, H., and Troy, L. (2019) Social housing as infrastructure: rationale, prioritisation and investment pathway, AHURI Final Report No. 315, Australian Housing and Urban Research Institute Limited, Melbourne, https://www.ahuri.edu.au/research/final-reports/315, doi:10.18408/ahuri-5314001. </w:t>
      </w:r>
    </w:p>
  </w:endnote>
  <w:endnote w:id="30">
    <w:p w14:paraId="00D31345" w14:textId="77777777" w:rsidR="00902B84" w:rsidRPr="003041FD" w:rsidRDefault="00902B84" w:rsidP="00902B84">
      <w:pPr>
        <w:pStyle w:val="EndnoteText"/>
        <w:rPr>
          <w:rFonts w:asciiTheme="minorHAnsi" w:hAnsiTheme="minorHAnsi"/>
          <w:color w:val="auto"/>
          <w:sz w:val="16"/>
          <w:szCs w:val="16"/>
          <w:shd w:val="clear" w:color="auto" w:fill="FFFFFF" w:themeFill="background1"/>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Pr="003041FD">
        <w:rPr>
          <w:rFonts w:asciiTheme="minorHAnsi" w:hAnsiTheme="minorHAnsi"/>
          <w:color w:val="auto"/>
          <w:sz w:val="16"/>
          <w:szCs w:val="16"/>
          <w:shd w:val="clear" w:color="auto" w:fill="FFFFFF" w:themeFill="background1"/>
        </w:rPr>
        <w:t xml:space="preserve">Wilkins and Gray (2024) Temporary accommodation in England: is it value for money? Centre for Homelessness Impact,  </w:t>
      </w:r>
      <w:hyperlink r:id="rId11" w:history="1">
        <w:r w:rsidRPr="003041FD">
          <w:rPr>
            <w:rStyle w:val="Hyperlink"/>
            <w:rFonts w:asciiTheme="minorHAnsi" w:hAnsiTheme="minorHAnsi"/>
            <w:color w:val="auto"/>
            <w:sz w:val="16"/>
            <w:szCs w:val="16"/>
            <w:shd w:val="clear" w:color="auto" w:fill="FFFFFF" w:themeFill="background1"/>
          </w:rPr>
          <w:t>https://cdn.prod.website-files.com/646dd81ef095aa13072c44e0/66eae69bc7a7224736d2b811_CHI-Temporary-Accommodation-Value-for-Money-England_FINAL.pdf</w:t>
        </w:r>
      </w:hyperlink>
      <w:r w:rsidRPr="003041FD">
        <w:rPr>
          <w:rFonts w:asciiTheme="minorHAnsi" w:hAnsiTheme="minorHAnsi"/>
          <w:color w:val="auto"/>
          <w:sz w:val="16"/>
          <w:szCs w:val="16"/>
          <w:shd w:val="clear" w:color="auto" w:fill="FFFFFF" w:themeFill="background1"/>
        </w:rPr>
        <w:t xml:space="preserve"> </w:t>
      </w:r>
    </w:p>
  </w:endnote>
  <w:endnote w:id="31">
    <w:p w14:paraId="31FCA606" w14:textId="77777777" w:rsidR="00902B84" w:rsidRPr="003041FD" w:rsidRDefault="00902B84" w:rsidP="00902B8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Pr="003041FD">
        <w:rPr>
          <w:rFonts w:asciiTheme="minorHAnsi" w:hAnsiTheme="minorHAnsi"/>
          <w:color w:val="auto"/>
          <w:sz w:val="16"/>
          <w:szCs w:val="16"/>
          <w:shd w:val="clear" w:color="auto" w:fill="FFFFFF" w:themeFill="background1"/>
        </w:rPr>
        <w:t xml:space="preserve">Wilkins and Gray (2024) Temporary accommodation in England: is it value for money? Centre for Homelessness Impact,  </w:t>
      </w:r>
      <w:hyperlink r:id="rId12" w:history="1">
        <w:r w:rsidRPr="003041FD">
          <w:rPr>
            <w:rStyle w:val="Hyperlink"/>
            <w:rFonts w:asciiTheme="minorHAnsi" w:hAnsiTheme="minorHAnsi"/>
            <w:color w:val="auto"/>
            <w:sz w:val="16"/>
            <w:szCs w:val="16"/>
            <w:shd w:val="clear" w:color="auto" w:fill="FFFFFF" w:themeFill="background1"/>
          </w:rPr>
          <w:t>https://cdn.prod.website-files.com/646dd81ef095aa13072c44e0/66eae69bc7a7224736d2b811_CHI-Temporary-Accommodation-Value-for-Money-England_FINAL.pdf</w:t>
        </w:r>
      </w:hyperlink>
    </w:p>
  </w:endnote>
  <w:endnote w:id="32">
    <w:p w14:paraId="16BAC841" w14:textId="77777777" w:rsidR="00902B84" w:rsidRPr="003041FD" w:rsidRDefault="00902B84" w:rsidP="00902B8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Pr="003041FD">
        <w:rPr>
          <w:rFonts w:asciiTheme="minorHAnsi" w:hAnsiTheme="minorHAnsi"/>
          <w:color w:val="auto"/>
          <w:sz w:val="16"/>
          <w:szCs w:val="16"/>
          <w:shd w:val="clear" w:color="auto" w:fill="FFFFFF" w:themeFill="background1"/>
        </w:rPr>
        <w:t xml:space="preserve">Wilkins and Gray (2024) Temporary accommodation in England: is it value for money? Centre for Homelessness Impact,  </w:t>
      </w:r>
      <w:hyperlink r:id="rId13" w:history="1">
        <w:r w:rsidRPr="003041FD">
          <w:rPr>
            <w:rStyle w:val="Hyperlink"/>
            <w:rFonts w:asciiTheme="minorHAnsi" w:hAnsiTheme="minorHAnsi"/>
            <w:color w:val="auto"/>
            <w:sz w:val="16"/>
            <w:szCs w:val="16"/>
            <w:shd w:val="clear" w:color="auto" w:fill="FFFFFF" w:themeFill="background1"/>
          </w:rPr>
          <w:t>https://cdn.prod.website-files.com/646dd81ef095aa13072c44e0/66eae69bc7a7224736d2b811_CHI-Temporary-Accommodation-Value-for-Money-England_FINAL.pdf</w:t>
        </w:r>
      </w:hyperlink>
    </w:p>
  </w:endnote>
  <w:endnote w:id="33">
    <w:p w14:paraId="3EA90767" w14:textId="77777777" w:rsidR="00480834" w:rsidRPr="003041FD" w:rsidRDefault="00480834" w:rsidP="00480834">
      <w:pPr>
        <w:pStyle w:val="EndnoteText"/>
        <w:rPr>
          <w:rFonts w:asciiTheme="minorHAnsi" w:hAnsiTheme="minorHAnsi"/>
          <w:color w:val="auto"/>
          <w:sz w:val="16"/>
          <w:szCs w:val="16"/>
          <w:shd w:val="clear" w:color="auto" w:fill="FFFFFF" w:themeFill="background1"/>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Pr="003041FD">
        <w:rPr>
          <w:rFonts w:asciiTheme="minorHAnsi" w:hAnsiTheme="minorHAnsi"/>
          <w:color w:val="auto"/>
          <w:sz w:val="16"/>
          <w:szCs w:val="16"/>
          <w:shd w:val="clear" w:color="auto" w:fill="FFFFFF" w:themeFill="background1"/>
        </w:rPr>
        <w:t>YFoundations (2024) Position Paper on the Reform of Temporary Accommodation in NSW</w:t>
      </w:r>
    </w:p>
  </w:endnote>
  <w:endnote w:id="34">
    <w:p w14:paraId="0CA88ED4" w14:textId="77777777" w:rsidR="00764920" w:rsidRPr="003041FD" w:rsidRDefault="00764920" w:rsidP="00764920">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MacKenzie, D., Hand, T., Zufferey, C., McNelis, S., Spinney, A. and Tedmanson, D. (2020) Redesign of a homelessness service system for young people, AHURI Final Report 327, Australian Housing and Urban Research Institute Limited, Melbourne, http://www.ahuri.edu.au/research/final-reports/327, doi: 10.18408/ahuri-5119101. </w:t>
      </w:r>
    </w:p>
  </w:endnote>
  <w:endnote w:id="35">
    <w:p w14:paraId="397C2053" w14:textId="77777777" w:rsidR="00764920" w:rsidRPr="003041FD" w:rsidRDefault="00764920" w:rsidP="00764920">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Rambaldini-Gooding, Keevers, Clay and MacLeod (2024) </w:t>
      </w:r>
      <w:hyperlink r:id="rId14" w:history="1">
        <w:r w:rsidRPr="003041FD">
          <w:rPr>
            <w:rFonts w:asciiTheme="minorHAnsi" w:hAnsiTheme="minorHAnsi"/>
            <w:color w:val="auto"/>
            <w:sz w:val="16"/>
            <w:szCs w:val="16"/>
            <w:u w:val="single"/>
          </w:rPr>
          <w:t>Researching effective practices to reduce youth homelessness and disadvantage from a young person's perspective: A systematic review - Rambaldini</w:t>
        </w:r>
        <w:r w:rsidRPr="003041FD">
          <w:rPr>
            <w:rFonts w:ascii="Times New Roman" w:hAnsi="Times New Roman" w:cs="Times New Roman"/>
            <w:color w:val="auto"/>
            <w:sz w:val="16"/>
            <w:szCs w:val="16"/>
            <w:u w:val="single"/>
          </w:rPr>
          <w:t>‐</w:t>
        </w:r>
        <w:r w:rsidRPr="003041FD">
          <w:rPr>
            <w:rFonts w:asciiTheme="minorHAnsi" w:hAnsiTheme="minorHAnsi"/>
            <w:color w:val="auto"/>
            <w:sz w:val="16"/>
            <w:szCs w:val="16"/>
            <w:u w:val="single"/>
          </w:rPr>
          <w:t>Gooding - Australian Journal of Social Issues - Wiley Online Library</w:t>
        </w:r>
      </w:hyperlink>
    </w:p>
  </w:endnote>
  <w:endnote w:id="36">
    <w:p w14:paraId="0DF48D86" w14:textId="77777777" w:rsidR="00AC61A7" w:rsidRPr="003041FD" w:rsidRDefault="00AC61A7" w:rsidP="00AC61A7">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Valentine, K., Blunden, H., Zufferey, C., Spinney, A. and Zirakbash, F. (2020) Supporting families effectively through the homelessness services system, AHURI Final Report 330, Australian Housing and Urban Research Institute Limited, Melbourne, http://www.ahuri.edu.au/research/final-reports/330, doi: 10.18408/ahuri-7119201.</w:t>
      </w:r>
    </w:p>
  </w:endnote>
  <w:endnote w:id="37">
    <w:p w14:paraId="5141A20A" w14:textId="77777777" w:rsidR="006F1FE3" w:rsidRPr="003041FD" w:rsidRDefault="006F1FE3" w:rsidP="006F1FE3">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Flatau, P., Lester, L., Seivwright, A., Teal, R., Dobrovic, J., Vallesi, S., Hartley, C. and Callis, Z. (2021). Ending homelessness in Australia: An evidence and policy deep dive. Perth: Centre for Social Impact, The University of Western Australia and the University of New South Wales. DOI: 10.25916/ntba-f006 </w:t>
      </w:r>
    </w:p>
  </w:endnote>
  <w:endnote w:id="38">
    <w:p w14:paraId="5DF2296E" w14:textId="77777777" w:rsidR="006F1FE3" w:rsidRPr="003041FD" w:rsidRDefault="006F1FE3" w:rsidP="006F1FE3">
      <w:pPr>
        <w:pStyle w:val="EndnoteText"/>
        <w:rPr>
          <w:rFonts w:asciiTheme="minorHAnsi" w:eastAsia="Times New Roman" w:hAnsiTheme="minorHAnsi"/>
          <w:color w:val="auto"/>
          <w:sz w:val="16"/>
          <w:szCs w:val="16"/>
          <w:lang w:eastAsia="en-AU"/>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Roggenbuck, Housing First: An evidence review of implementation, effectiveness and outcomes, 2022. Available at: </w:t>
      </w:r>
      <w:hyperlink r:id="rId15" w:history="1">
        <w:r w:rsidRPr="003041FD">
          <w:rPr>
            <w:rStyle w:val="Hyperlink"/>
            <w:rFonts w:asciiTheme="minorHAnsi" w:hAnsiTheme="minorHAnsi"/>
            <w:color w:val="auto"/>
            <w:sz w:val="16"/>
            <w:szCs w:val="16"/>
          </w:rPr>
          <w:t>https://www.ahuri.edu.au/sites/default/files/documents/2022-08/AHURI-Prof-Services-Housing-First-An-evidence-review-of-implementation-effectiveness-and-outcomes.pdf</w:t>
        </w:r>
      </w:hyperlink>
    </w:p>
  </w:endnote>
  <w:endnote w:id="39">
    <w:p w14:paraId="2E2C5999" w14:textId="77777777" w:rsidR="006F1FE3" w:rsidRPr="003041FD" w:rsidRDefault="006F1FE3" w:rsidP="006F1FE3">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Brackertz, N., Alves, T., Valentine, K., Blunden, H., Blaxland, M. and Katz, I. (2023) Together Home Program: Interim Implementation </w:t>
      </w:r>
    </w:p>
    <w:p w14:paraId="767606FD" w14:textId="77777777" w:rsidR="006F1FE3" w:rsidRPr="003041FD" w:rsidRDefault="006F1FE3" w:rsidP="006F1FE3">
      <w:pPr>
        <w:pStyle w:val="EndnoteText"/>
        <w:rPr>
          <w:rFonts w:asciiTheme="minorHAnsi" w:hAnsiTheme="minorHAnsi"/>
          <w:color w:val="auto"/>
          <w:sz w:val="16"/>
          <w:szCs w:val="16"/>
        </w:rPr>
      </w:pPr>
      <w:r w:rsidRPr="003041FD">
        <w:rPr>
          <w:rFonts w:asciiTheme="minorHAnsi" w:hAnsiTheme="minorHAnsi"/>
          <w:color w:val="auto"/>
          <w:sz w:val="16"/>
          <w:szCs w:val="16"/>
        </w:rPr>
        <w:t xml:space="preserve">Report, AHURI Professional Services and UNSW for NSW Department of Communities and Justice, Australian Housing and </w:t>
      </w:r>
    </w:p>
    <w:p w14:paraId="28F711E5" w14:textId="77777777" w:rsidR="006F1FE3" w:rsidRPr="003041FD" w:rsidRDefault="006F1FE3" w:rsidP="006F1FE3">
      <w:pPr>
        <w:pStyle w:val="EndnoteText"/>
        <w:rPr>
          <w:rFonts w:asciiTheme="minorHAnsi" w:hAnsiTheme="minorHAnsi"/>
          <w:color w:val="auto"/>
          <w:sz w:val="16"/>
          <w:szCs w:val="16"/>
        </w:rPr>
      </w:pPr>
      <w:r w:rsidRPr="003041FD">
        <w:rPr>
          <w:rFonts w:asciiTheme="minorHAnsi" w:hAnsiTheme="minorHAnsi"/>
          <w:color w:val="auto"/>
          <w:sz w:val="16"/>
          <w:szCs w:val="16"/>
        </w:rPr>
        <w:t>Urban Research Institute Limited, Melbourne.</w:t>
      </w:r>
    </w:p>
  </w:endnote>
  <w:endnote w:id="40">
    <w:p w14:paraId="4B47A007" w14:textId="77777777" w:rsidR="00D72C4E" w:rsidRPr="003041FD" w:rsidRDefault="00D72C4E" w:rsidP="00D72C4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Trajectories the interplay between housing and mental health pathways (AHURI, 2020) </w:t>
      </w:r>
    </w:p>
  </w:endnote>
  <w:endnote w:id="41">
    <w:p w14:paraId="7830C445" w14:textId="77777777" w:rsidR="00D72C4E" w:rsidRPr="003041FD" w:rsidRDefault="00D72C4E" w:rsidP="00D72C4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Stafford, A and Wood, L (2017) Tacking Health Disparities for people who are homeless? Start with social determinants, Int J Environ Res Public Health. 2017 Dec; 14(12): 1535. Published online 2017 Dec 8. doi: 10.3390/ijerph14121535</w:t>
      </w:r>
    </w:p>
  </w:endnote>
  <w:endnote w:id="42">
    <w:p w14:paraId="0F290EE8" w14:textId="77777777" w:rsidR="00AB4E12" w:rsidRPr="003041FD" w:rsidRDefault="00AB4E12" w:rsidP="00764920">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Pr="003041FD">
        <w:rPr>
          <w:rFonts w:asciiTheme="minorHAnsi" w:eastAsia="Times New Roman" w:hAnsiTheme="minorHAnsi" w:cs="Segoe UI"/>
          <w:color w:val="auto"/>
          <w:sz w:val="16"/>
          <w:szCs w:val="16"/>
          <w:lang w:eastAsia="en-AU"/>
        </w:rPr>
        <w:t>Bullen et al. (2015) In-Depth Evaluation of Camperdown Common Ground: Permanent housing for vulnerable long-term homeless people</w:t>
      </w:r>
    </w:p>
  </w:endnote>
  <w:endnote w:id="43">
    <w:p w14:paraId="41F931D0" w14:textId="77777777" w:rsidR="00D06540" w:rsidRPr="003041FD" w:rsidRDefault="00D06540" w:rsidP="00D06540">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Pr="003041FD">
        <w:rPr>
          <w:rFonts w:asciiTheme="minorHAnsi" w:hAnsiTheme="minorHAnsi"/>
          <w:color w:val="auto"/>
          <w:sz w:val="16"/>
          <w:szCs w:val="16"/>
          <w:lang w:val="en-US"/>
        </w:rPr>
        <w:t xml:space="preserve">Taylor D, Roberts J, Rose V, Gyani A, Harrigan S &amp; Shlonsky A. 2020. Evaluation of the Premier’s Youth Initiative: Final Report, Centre for Evidence and Implementation, Sydney.  </w:t>
      </w:r>
    </w:p>
  </w:endnote>
  <w:endnote w:id="44">
    <w:p w14:paraId="0FF8E18A" w14:textId="77777777" w:rsidR="00D06540" w:rsidRPr="003041FD" w:rsidRDefault="00D06540" w:rsidP="00D06540">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Duff, C., Randall, S., Hill, N., Martin, C., Martin, R. (2022) Enhancing the coordination of housing supports for individuals leaving institutional settings, AHURI Final Report No. 379, Australian Housing and Urban Research Institute Limited, Melbourne, </w:t>
      </w:r>
      <w:hyperlink r:id="rId16" w:history="1">
        <w:r w:rsidRPr="003041FD">
          <w:rPr>
            <w:rStyle w:val="Hyperlink"/>
            <w:rFonts w:asciiTheme="minorHAnsi" w:hAnsiTheme="minorHAnsi"/>
            <w:color w:val="auto"/>
            <w:sz w:val="16"/>
            <w:szCs w:val="16"/>
          </w:rPr>
          <w:t>https://www.ahuri.edu.au/research/final-reports/379</w:t>
        </w:r>
      </w:hyperlink>
    </w:p>
  </w:endnote>
  <w:endnote w:id="45">
    <w:p w14:paraId="59F130F7" w14:textId="77777777" w:rsidR="00D06540" w:rsidRPr="003041FD" w:rsidRDefault="00D06540" w:rsidP="00D06540">
      <w:pPr>
        <w:rPr>
          <w:rFonts w:asciiTheme="minorHAnsi" w:eastAsia="Times New Roman" w:hAnsiTheme="minorHAnsi" w:cs="Segoe UI"/>
          <w:color w:val="auto"/>
          <w:sz w:val="16"/>
          <w:szCs w:val="16"/>
          <w:lang w:eastAsia="en-AU"/>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Pr="003041FD">
        <w:rPr>
          <w:rFonts w:asciiTheme="minorHAnsi" w:eastAsia="Times New Roman" w:hAnsiTheme="minorHAnsi" w:cs="Segoe UI"/>
          <w:color w:val="auto"/>
          <w:sz w:val="16"/>
          <w:szCs w:val="16"/>
          <w:lang w:eastAsia="en-AU"/>
        </w:rPr>
        <w:t>Blunden, H, Mao, L., Bates, S., and Katz, I. (2023). Evaluation of the Home and Healthy Program: Final Report, Sydney: UNSW Social Policy Research Centre.</w:t>
      </w:r>
    </w:p>
  </w:endnote>
  <w:endnote w:id="46">
    <w:p w14:paraId="4ED2C731" w14:textId="77777777" w:rsidR="00435056" w:rsidRPr="003041FD" w:rsidRDefault="00435056" w:rsidP="00435056">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ARTD (2023) Evaluation of Assertive Outreach</w:t>
      </w:r>
    </w:p>
  </w:endnote>
  <w:endnote w:id="47">
    <w:p w14:paraId="45CB1959" w14:textId="1E5BE394" w:rsidR="005A2C8C" w:rsidRPr="006C5969" w:rsidRDefault="005A2C8C">
      <w:pPr>
        <w:pStyle w:val="EndnoteText"/>
        <w:rPr>
          <w:rFonts w:asciiTheme="minorHAnsi" w:hAnsiTheme="minorHAnsi"/>
          <w:color w:val="auto"/>
          <w:sz w:val="16"/>
          <w:szCs w:val="16"/>
        </w:rPr>
      </w:pPr>
      <w:r w:rsidRPr="006C5969">
        <w:rPr>
          <w:rStyle w:val="EndnoteReference"/>
          <w:rFonts w:asciiTheme="minorHAnsi" w:hAnsiTheme="minorHAnsi"/>
          <w:color w:val="auto"/>
          <w:sz w:val="16"/>
          <w:szCs w:val="16"/>
        </w:rPr>
        <w:endnoteRef/>
      </w:r>
      <w:r w:rsidRPr="006C5969">
        <w:rPr>
          <w:rFonts w:asciiTheme="minorHAnsi" w:hAnsiTheme="minorHAnsi"/>
          <w:color w:val="auto"/>
          <w:sz w:val="16"/>
          <w:szCs w:val="16"/>
        </w:rPr>
        <w:t xml:space="preserve"> </w:t>
      </w:r>
      <w:r w:rsidR="005A12E4" w:rsidRPr="006C5969">
        <w:rPr>
          <w:rFonts w:asciiTheme="minorHAnsi" w:hAnsiTheme="minorHAnsi"/>
          <w:color w:val="auto"/>
          <w:sz w:val="16"/>
          <w:szCs w:val="16"/>
        </w:rPr>
        <w:t>Plett, Gewurtz, Oudshoorn, Forchuk and Marshall (Sept 2024) “</w:t>
      </w:r>
      <w:r w:rsidR="00747797" w:rsidRPr="006C5969">
        <w:rPr>
          <w:rFonts w:asciiTheme="minorHAnsi" w:hAnsiTheme="minorHAnsi"/>
          <w:color w:val="auto"/>
          <w:sz w:val="16"/>
          <w:szCs w:val="16"/>
        </w:rPr>
        <w:t>Belonging</w:t>
      </w:r>
      <w:r w:rsidR="005A12E4" w:rsidRPr="006C5969">
        <w:rPr>
          <w:rFonts w:asciiTheme="minorHAnsi" w:hAnsiTheme="minorHAnsi"/>
          <w:color w:val="auto"/>
          <w:sz w:val="16"/>
          <w:szCs w:val="16"/>
        </w:rPr>
        <w:t xml:space="preserve"> through meaningful </w:t>
      </w:r>
      <w:r w:rsidR="00747797" w:rsidRPr="006C5969">
        <w:rPr>
          <w:rFonts w:asciiTheme="minorHAnsi" w:hAnsiTheme="minorHAnsi"/>
          <w:color w:val="auto"/>
          <w:sz w:val="16"/>
          <w:szCs w:val="16"/>
        </w:rPr>
        <w:t>activity</w:t>
      </w:r>
      <w:r w:rsidR="005A12E4" w:rsidRPr="006C5969">
        <w:rPr>
          <w:rFonts w:asciiTheme="minorHAnsi" w:hAnsiTheme="minorHAnsi"/>
          <w:color w:val="auto"/>
          <w:sz w:val="16"/>
          <w:szCs w:val="16"/>
        </w:rPr>
        <w:t xml:space="preserve"> in the transition </w:t>
      </w:r>
      <w:r w:rsidR="00747797" w:rsidRPr="006C5969">
        <w:rPr>
          <w:rFonts w:asciiTheme="minorHAnsi" w:hAnsiTheme="minorHAnsi"/>
          <w:color w:val="auto"/>
          <w:sz w:val="16"/>
          <w:szCs w:val="16"/>
        </w:rPr>
        <w:t>from</w:t>
      </w:r>
      <w:r w:rsidR="005A12E4" w:rsidRPr="006C5969">
        <w:rPr>
          <w:rFonts w:asciiTheme="minorHAnsi" w:hAnsiTheme="minorHAnsi"/>
          <w:color w:val="auto"/>
          <w:sz w:val="16"/>
          <w:szCs w:val="16"/>
        </w:rPr>
        <w:t xml:space="preserve"> unhoused to housed</w:t>
      </w:r>
      <w:r w:rsidR="00342BE0" w:rsidRPr="006C5969">
        <w:rPr>
          <w:rFonts w:asciiTheme="minorHAnsi" w:hAnsiTheme="minorHAnsi"/>
          <w:color w:val="auto"/>
          <w:sz w:val="16"/>
          <w:szCs w:val="16"/>
        </w:rPr>
        <w:t xml:space="preserve">”, </w:t>
      </w:r>
      <w:r w:rsidR="00747797" w:rsidRPr="006C5969">
        <w:rPr>
          <w:rFonts w:asciiTheme="minorHAnsi" w:hAnsiTheme="minorHAnsi"/>
          <w:color w:val="auto"/>
          <w:sz w:val="16"/>
          <w:szCs w:val="16"/>
        </w:rPr>
        <w:t>https://journals.plos.org/plosone/article?id=10.1371/journal.pone.0310701#sec031</w:t>
      </w:r>
    </w:p>
  </w:endnote>
  <w:endnote w:id="48">
    <w:p w14:paraId="246F84AD" w14:textId="2C53F362" w:rsidR="00D82ED6" w:rsidRPr="003041FD" w:rsidRDefault="00D82ED6">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Ageing on the Edge NSW Forum, Home at Last: Solutions to End Homelessness of Older People in NSW, December 2021</w:t>
      </w:r>
    </w:p>
  </w:endnote>
  <w:endnote w:id="49">
    <w:p w14:paraId="5F25340C" w14:textId="4A44B379" w:rsidR="00DD6639" w:rsidRPr="003041FD" w:rsidRDefault="00DD6639">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C. Thredgold, A. Beer, C. Zufferey, A. Peters, and A. Spinney, An effective homelessness services system for older Australians, Australian Housing and Urban Research Institute, 2019, accessible at: https://www.ahuri.edu.au/research/final-reports/322</w:t>
      </w:r>
    </w:p>
  </w:endnote>
  <w:endnote w:id="50">
    <w:p w14:paraId="6F3DC743" w14:textId="2310FDA0" w:rsidR="00431DE2" w:rsidRPr="003041FD" w:rsidRDefault="00431DE2">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0056488A" w:rsidRPr="003041FD">
        <w:rPr>
          <w:rFonts w:asciiTheme="minorHAnsi" w:hAnsiTheme="minorHAnsi"/>
          <w:color w:val="auto"/>
          <w:sz w:val="16"/>
          <w:szCs w:val="16"/>
        </w:rPr>
        <w:t xml:space="preserve">United Nations General Assembly (1948) </w:t>
      </w:r>
      <w:r w:rsidR="00AF7FD6" w:rsidRPr="003041FD">
        <w:rPr>
          <w:rFonts w:asciiTheme="minorHAnsi" w:hAnsiTheme="minorHAnsi"/>
          <w:color w:val="auto"/>
          <w:sz w:val="16"/>
          <w:szCs w:val="16"/>
        </w:rPr>
        <w:t>Universal Declaration of Human Rights</w:t>
      </w:r>
      <w:r w:rsidR="0056488A" w:rsidRPr="003041FD">
        <w:rPr>
          <w:rFonts w:asciiTheme="minorHAnsi" w:hAnsiTheme="minorHAnsi"/>
          <w:color w:val="auto"/>
          <w:sz w:val="16"/>
          <w:szCs w:val="16"/>
        </w:rPr>
        <w:t>,</w:t>
      </w:r>
      <w:r w:rsidR="00AF7FD6" w:rsidRPr="003041FD">
        <w:rPr>
          <w:rFonts w:asciiTheme="minorHAnsi" w:hAnsiTheme="minorHAnsi"/>
          <w:color w:val="auto"/>
          <w:sz w:val="16"/>
          <w:szCs w:val="16"/>
        </w:rPr>
        <w:t xml:space="preserve"> https://www.un.org/en/about-us/universal-declaration-of-human-rights</w:t>
      </w:r>
    </w:p>
  </w:endnote>
  <w:endnote w:id="51">
    <w:p w14:paraId="185883AB" w14:textId="44FA92B3" w:rsidR="00524848" w:rsidRPr="003041FD" w:rsidRDefault="00524848">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Article 11, International Covenant on Economic, Social and Cultural Rights https://www.ohchr.org/en/instruments-mechanisms/instruments/international-covenant-economic-social-and-cultural-rights</w:t>
      </w:r>
    </w:p>
  </w:endnote>
  <w:endnote w:id="52">
    <w:p w14:paraId="6D3DE360" w14:textId="313DB5DB" w:rsidR="00610001" w:rsidRPr="003041FD" w:rsidRDefault="00610001">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00825888" w:rsidRPr="003041FD">
        <w:rPr>
          <w:rFonts w:asciiTheme="minorHAnsi" w:hAnsiTheme="minorHAnsi"/>
          <w:color w:val="auto"/>
          <w:sz w:val="16"/>
          <w:szCs w:val="16"/>
        </w:rPr>
        <w:t xml:space="preserve">OHCHR </w:t>
      </w:r>
      <w:r w:rsidR="00386418" w:rsidRPr="003041FD">
        <w:rPr>
          <w:rFonts w:asciiTheme="minorHAnsi" w:hAnsiTheme="minorHAnsi"/>
          <w:color w:val="auto"/>
          <w:sz w:val="16"/>
          <w:szCs w:val="16"/>
        </w:rPr>
        <w:t xml:space="preserve">‘Housing is a right, not a commodity’, </w:t>
      </w:r>
      <w:hyperlink r:id="rId17" w:history="1">
        <w:r w:rsidR="00386418" w:rsidRPr="003041FD">
          <w:rPr>
            <w:rFonts w:asciiTheme="minorHAnsi" w:hAnsiTheme="minorHAnsi"/>
            <w:color w:val="auto"/>
            <w:sz w:val="16"/>
            <w:szCs w:val="16"/>
          </w:rPr>
          <w:t>https://www.ohchr.org/en/special-procedures/sr-housing/human-right-adequate-housing</w:t>
        </w:r>
      </w:hyperlink>
      <w:r w:rsidR="00386418" w:rsidRPr="003041FD">
        <w:rPr>
          <w:rFonts w:asciiTheme="minorHAnsi" w:hAnsiTheme="minorHAnsi"/>
          <w:color w:val="auto"/>
          <w:sz w:val="16"/>
          <w:szCs w:val="16"/>
        </w:rPr>
        <w:t xml:space="preserve"> (accessed </w:t>
      </w:r>
      <w:r w:rsidR="00444DAD" w:rsidRPr="003041FD">
        <w:rPr>
          <w:rFonts w:asciiTheme="minorHAnsi" w:hAnsiTheme="minorHAnsi"/>
          <w:color w:val="auto"/>
          <w:sz w:val="16"/>
          <w:szCs w:val="16"/>
        </w:rPr>
        <w:t>31 July 2024)</w:t>
      </w:r>
    </w:p>
  </w:endnote>
  <w:endnote w:id="53">
    <w:p w14:paraId="5123A5C4" w14:textId="532F8F0A" w:rsidR="001E3FC8" w:rsidRPr="003041FD" w:rsidRDefault="001E3FC8">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004375A9" w:rsidRPr="003041FD">
        <w:rPr>
          <w:rFonts w:asciiTheme="minorHAnsi" w:hAnsiTheme="minorHAnsi"/>
          <w:color w:val="auto"/>
          <w:sz w:val="16"/>
          <w:szCs w:val="16"/>
        </w:rPr>
        <w:t>Australian Human Rights Commission (2008) Homelessness is a Human Rights Issue</w:t>
      </w:r>
      <w:r w:rsidR="00F013EE" w:rsidRPr="003041FD">
        <w:rPr>
          <w:rFonts w:asciiTheme="minorHAnsi" w:hAnsiTheme="minorHAnsi"/>
          <w:color w:val="auto"/>
          <w:sz w:val="16"/>
          <w:szCs w:val="16"/>
        </w:rPr>
        <w:t>, https://humanrights.gov.au/our-work/publications/homelessness-human-rights-issue-2008</w:t>
      </w:r>
    </w:p>
  </w:endnote>
  <w:endnote w:id="54">
    <w:p w14:paraId="278AA345" w14:textId="491E1B02" w:rsidR="00400278" w:rsidRPr="003041FD" w:rsidRDefault="00400278">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00BE4ACA" w:rsidRPr="003041FD">
        <w:rPr>
          <w:rFonts w:asciiTheme="minorHAnsi" w:hAnsiTheme="minorHAnsi"/>
          <w:color w:val="auto"/>
          <w:sz w:val="16"/>
          <w:szCs w:val="16"/>
        </w:rPr>
        <w:t>Australian Human Rights Commission (2008) Homelessness is a Human Rights Issue, https://humanrights.gov.au/our-work/publications/homelessness-human-rights-issue-2008</w:t>
      </w:r>
    </w:p>
  </w:endnote>
  <w:endnote w:id="55">
    <w:p w14:paraId="057FBCAC" w14:textId="6AAD1DE9" w:rsidR="006E3B69" w:rsidRPr="003041FD" w:rsidRDefault="006E3B69">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00505408" w:rsidRPr="003041FD">
        <w:rPr>
          <w:rFonts w:asciiTheme="minorHAnsi" w:hAnsiTheme="minorHAnsi"/>
          <w:color w:val="auto"/>
          <w:sz w:val="16"/>
          <w:szCs w:val="16"/>
        </w:rPr>
        <w:t xml:space="preserve">Closing The Gap, What was heard </w:t>
      </w:r>
      <w:r w:rsidR="00BE4ACA" w:rsidRPr="003041FD">
        <w:rPr>
          <w:rFonts w:asciiTheme="minorHAnsi" w:hAnsiTheme="minorHAnsi"/>
          <w:color w:val="auto"/>
          <w:sz w:val="16"/>
          <w:szCs w:val="16"/>
        </w:rPr>
        <w:t>from</w:t>
      </w:r>
      <w:r w:rsidR="00505408" w:rsidRPr="003041FD">
        <w:rPr>
          <w:rFonts w:asciiTheme="minorHAnsi" w:hAnsiTheme="minorHAnsi"/>
          <w:color w:val="auto"/>
          <w:sz w:val="16"/>
          <w:szCs w:val="16"/>
        </w:rPr>
        <w:t xml:space="preserve"> the </w:t>
      </w:r>
      <w:r w:rsidR="00BE4ACA" w:rsidRPr="003041FD">
        <w:rPr>
          <w:rFonts w:asciiTheme="minorHAnsi" w:hAnsiTheme="minorHAnsi"/>
          <w:color w:val="auto"/>
          <w:sz w:val="16"/>
          <w:szCs w:val="16"/>
        </w:rPr>
        <w:t>engagements</w:t>
      </w:r>
      <w:r w:rsidR="00505408" w:rsidRPr="003041FD">
        <w:rPr>
          <w:rFonts w:asciiTheme="minorHAnsi" w:hAnsiTheme="minorHAnsi"/>
          <w:color w:val="auto"/>
          <w:sz w:val="16"/>
          <w:szCs w:val="16"/>
        </w:rPr>
        <w:t xml:space="preserve"> and how it has been incorporated into the </w:t>
      </w:r>
      <w:r w:rsidR="00BE4ACA" w:rsidRPr="003041FD">
        <w:rPr>
          <w:rFonts w:asciiTheme="minorHAnsi" w:hAnsiTheme="minorHAnsi"/>
          <w:color w:val="auto"/>
          <w:sz w:val="16"/>
          <w:szCs w:val="16"/>
        </w:rPr>
        <w:t>N</w:t>
      </w:r>
      <w:r w:rsidR="00505408" w:rsidRPr="003041FD">
        <w:rPr>
          <w:rFonts w:asciiTheme="minorHAnsi" w:hAnsiTheme="minorHAnsi"/>
          <w:color w:val="auto"/>
          <w:sz w:val="16"/>
          <w:szCs w:val="16"/>
        </w:rPr>
        <w:t xml:space="preserve">ational </w:t>
      </w:r>
      <w:r w:rsidR="00BE4ACA" w:rsidRPr="003041FD">
        <w:rPr>
          <w:rFonts w:asciiTheme="minorHAnsi" w:hAnsiTheme="minorHAnsi"/>
          <w:color w:val="auto"/>
          <w:sz w:val="16"/>
          <w:szCs w:val="16"/>
        </w:rPr>
        <w:t>A</w:t>
      </w:r>
      <w:r w:rsidR="00505408" w:rsidRPr="003041FD">
        <w:rPr>
          <w:rFonts w:asciiTheme="minorHAnsi" w:hAnsiTheme="minorHAnsi"/>
          <w:color w:val="auto"/>
          <w:sz w:val="16"/>
          <w:szCs w:val="16"/>
        </w:rPr>
        <w:t xml:space="preserve">greement on </w:t>
      </w:r>
      <w:r w:rsidR="00BE4ACA" w:rsidRPr="003041FD">
        <w:rPr>
          <w:rFonts w:asciiTheme="minorHAnsi" w:hAnsiTheme="minorHAnsi"/>
          <w:color w:val="auto"/>
          <w:sz w:val="16"/>
          <w:szCs w:val="16"/>
        </w:rPr>
        <w:t>C</w:t>
      </w:r>
      <w:r w:rsidR="00505408" w:rsidRPr="003041FD">
        <w:rPr>
          <w:rFonts w:asciiTheme="minorHAnsi" w:hAnsiTheme="minorHAnsi"/>
          <w:color w:val="auto"/>
          <w:sz w:val="16"/>
          <w:szCs w:val="16"/>
        </w:rPr>
        <w:t xml:space="preserve">losing </w:t>
      </w:r>
      <w:r w:rsidR="00BE4ACA" w:rsidRPr="003041FD">
        <w:rPr>
          <w:rFonts w:asciiTheme="minorHAnsi" w:hAnsiTheme="minorHAnsi"/>
          <w:color w:val="auto"/>
          <w:sz w:val="16"/>
          <w:szCs w:val="16"/>
        </w:rPr>
        <w:t>T</w:t>
      </w:r>
      <w:r w:rsidR="00505408" w:rsidRPr="003041FD">
        <w:rPr>
          <w:rFonts w:asciiTheme="minorHAnsi" w:hAnsiTheme="minorHAnsi"/>
          <w:color w:val="auto"/>
          <w:sz w:val="16"/>
          <w:szCs w:val="16"/>
        </w:rPr>
        <w:t xml:space="preserve">he </w:t>
      </w:r>
      <w:r w:rsidR="00BE4ACA" w:rsidRPr="003041FD">
        <w:rPr>
          <w:rFonts w:asciiTheme="minorHAnsi" w:hAnsiTheme="minorHAnsi"/>
          <w:color w:val="auto"/>
          <w:sz w:val="16"/>
          <w:szCs w:val="16"/>
        </w:rPr>
        <w:t>G</w:t>
      </w:r>
      <w:r w:rsidR="00505408" w:rsidRPr="003041FD">
        <w:rPr>
          <w:rFonts w:asciiTheme="minorHAnsi" w:hAnsiTheme="minorHAnsi"/>
          <w:color w:val="auto"/>
          <w:sz w:val="16"/>
          <w:szCs w:val="16"/>
        </w:rPr>
        <w:t>ap,  https://www.closingthegap.gov.au/sites/default/files/files/information-sheet-reflection-engagement-outcomes.pdf</w:t>
      </w:r>
    </w:p>
  </w:endnote>
  <w:endnote w:id="56">
    <w:p w14:paraId="4102A107" w14:textId="009CD14B" w:rsidR="001504C7" w:rsidRPr="003041FD" w:rsidRDefault="001504C7">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Closing the Gap, https://www.closingthegap.gov.au/</w:t>
      </w:r>
    </w:p>
  </w:endnote>
  <w:endnote w:id="57">
    <w:p w14:paraId="3D9E69A7" w14:textId="502CDFBC" w:rsidR="00034465" w:rsidRPr="003041FD" w:rsidRDefault="00034465" w:rsidP="00034465">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Towards System Change: Update on a new approach to homelessness in NSW</w:t>
      </w:r>
      <w:r w:rsidR="002A35FF">
        <w:rPr>
          <w:rFonts w:asciiTheme="minorHAnsi" w:hAnsiTheme="minorHAnsi"/>
          <w:color w:val="auto"/>
          <w:sz w:val="16"/>
          <w:szCs w:val="16"/>
        </w:rPr>
        <w:t>, Department of Communities and Justice (2024)</w:t>
      </w:r>
    </w:p>
  </w:endnote>
  <w:endnote w:id="58">
    <w:p w14:paraId="24A224AD" w14:textId="477EF7F5" w:rsidR="002549D2" w:rsidRPr="003041FD" w:rsidRDefault="002549D2">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Towards System Change: Update on a new approach to homelessness in NSW</w:t>
      </w:r>
      <w:r w:rsidR="002A35FF">
        <w:rPr>
          <w:rFonts w:asciiTheme="minorHAnsi" w:hAnsiTheme="minorHAnsi"/>
          <w:color w:val="auto"/>
          <w:sz w:val="16"/>
          <w:szCs w:val="16"/>
        </w:rPr>
        <w:t xml:space="preserve"> Department of Communities and Justice</w:t>
      </w:r>
      <w:r w:rsidRPr="003041FD">
        <w:rPr>
          <w:rFonts w:asciiTheme="minorHAnsi" w:hAnsiTheme="minorHAnsi"/>
          <w:color w:val="auto"/>
          <w:sz w:val="16"/>
          <w:szCs w:val="16"/>
        </w:rPr>
        <w:t xml:space="preserve"> </w:t>
      </w:r>
      <w:r w:rsidR="002A35FF">
        <w:rPr>
          <w:rFonts w:asciiTheme="minorHAnsi" w:hAnsiTheme="minorHAnsi"/>
          <w:color w:val="auto"/>
          <w:sz w:val="16"/>
          <w:szCs w:val="16"/>
        </w:rPr>
        <w:t>(2024)</w:t>
      </w:r>
    </w:p>
  </w:endnote>
  <w:endnote w:id="59">
    <w:p w14:paraId="4D0B8909" w14:textId="77777777" w:rsidR="008A2F7F" w:rsidRPr="003041FD" w:rsidRDefault="008A2F7F" w:rsidP="008A2F7F">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Productivity Commission (2022) </w:t>
      </w:r>
      <w:r w:rsidRPr="003041FD">
        <w:rPr>
          <w:rStyle w:val="Hyperlink"/>
          <w:rFonts w:asciiTheme="minorHAnsi" w:hAnsiTheme="minorHAnsi"/>
          <w:color w:val="auto"/>
          <w:sz w:val="16"/>
          <w:szCs w:val="16"/>
        </w:rPr>
        <w:t>‘</w:t>
      </w:r>
      <w:hyperlink r:id="rId18" w:history="1">
        <w:r w:rsidRPr="003041FD">
          <w:rPr>
            <w:rStyle w:val="Hyperlink"/>
            <w:rFonts w:asciiTheme="minorHAnsi" w:hAnsiTheme="minorHAnsi"/>
            <w:color w:val="auto"/>
            <w:sz w:val="16"/>
            <w:szCs w:val="16"/>
          </w:rPr>
          <w:t>In Need of Repair: The National Housing and Homelessness Agreement – Study Report</w:t>
        </w:r>
      </w:hyperlink>
      <w:r w:rsidRPr="003041FD">
        <w:rPr>
          <w:rStyle w:val="Hyperlink"/>
          <w:rFonts w:asciiTheme="minorHAnsi" w:hAnsiTheme="minorHAnsi"/>
          <w:color w:val="auto"/>
          <w:sz w:val="16"/>
          <w:szCs w:val="16"/>
        </w:rPr>
        <w:t>’</w:t>
      </w:r>
    </w:p>
  </w:endnote>
  <w:endnote w:id="60">
    <w:p w14:paraId="4E94F39D" w14:textId="77777777" w:rsidR="008A2F7F" w:rsidRPr="003041FD" w:rsidRDefault="008A2F7F" w:rsidP="008A2F7F">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Audit Office of NSW (2021)</w:t>
      </w:r>
      <w:r w:rsidRPr="003041FD">
        <w:rPr>
          <w:rFonts w:asciiTheme="minorHAnsi" w:eastAsiaTheme="minorHAnsi" w:hAnsiTheme="minorHAnsi"/>
          <w:color w:val="auto"/>
          <w:sz w:val="16"/>
          <w:szCs w:val="16"/>
          <w:lang w:eastAsia="en-US"/>
        </w:rPr>
        <w:t xml:space="preserve"> ‘</w:t>
      </w:r>
      <w:hyperlink r:id="rId19" w:anchor=":~:text=The%20Department's%20latest%20annual%20state,February%202020%20and%20February%202021" w:history="1">
        <w:r w:rsidRPr="003041FD">
          <w:rPr>
            <w:rStyle w:val="Hyperlink"/>
            <w:rFonts w:asciiTheme="minorHAnsi" w:eastAsiaTheme="minorHAnsi" w:hAnsiTheme="minorHAnsi"/>
            <w:color w:val="auto"/>
            <w:sz w:val="16"/>
            <w:szCs w:val="16"/>
            <w:lang w:eastAsia="en-US"/>
          </w:rPr>
          <w:t>Responses to homelessness</w:t>
        </w:r>
      </w:hyperlink>
      <w:r w:rsidRPr="003041FD">
        <w:rPr>
          <w:rFonts w:asciiTheme="minorHAnsi" w:eastAsiaTheme="minorHAnsi" w:hAnsiTheme="minorHAnsi"/>
          <w:color w:val="auto"/>
          <w:sz w:val="16"/>
          <w:szCs w:val="16"/>
          <w:lang w:eastAsia="en-US"/>
        </w:rPr>
        <w:t>’ – assessed how effect the NSW Homelessness Strategy 2018 – 2023 was in addressing homelessness.</w:t>
      </w:r>
    </w:p>
  </w:endnote>
  <w:endnote w:id="61">
    <w:p w14:paraId="41D94808" w14:textId="0AA96996" w:rsidR="00D72C4E" w:rsidRPr="003041FD" w:rsidRDefault="00D72C4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Moskos et al., ‘What works’ to sustain Indigenous tenancies in Australia, 2022.</w:t>
      </w:r>
    </w:p>
  </w:endnote>
  <w:endnote w:id="62">
    <w:p w14:paraId="00A20D21" w14:textId="77777777" w:rsidR="00472969" w:rsidRPr="003041FD" w:rsidRDefault="00472969" w:rsidP="00472969">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Oudshoorn, Parson et al, (2020) Evolving an evidence-based model for homelessness prevention, </w:t>
      </w:r>
    </w:p>
    <w:p w14:paraId="63DE626F" w14:textId="77777777" w:rsidR="00472969" w:rsidRPr="003041FD" w:rsidRDefault="00472969" w:rsidP="00472969">
      <w:pPr>
        <w:pStyle w:val="EndnoteText"/>
        <w:rPr>
          <w:rFonts w:asciiTheme="minorHAnsi" w:hAnsiTheme="minorHAnsi"/>
          <w:color w:val="auto"/>
          <w:sz w:val="16"/>
          <w:szCs w:val="16"/>
        </w:rPr>
      </w:pPr>
      <w:r w:rsidRPr="003041FD">
        <w:rPr>
          <w:rFonts w:asciiTheme="minorHAnsi" w:hAnsiTheme="minorHAnsi"/>
          <w:color w:val="auto"/>
          <w:sz w:val="16"/>
          <w:szCs w:val="16"/>
        </w:rPr>
        <w:t>https://www.academia.edu/43480750/Evolving_an_evidence_based_model_for_homelessness_prevention</w:t>
      </w:r>
    </w:p>
  </w:endnote>
  <w:endnote w:id="63">
    <w:p w14:paraId="33E6BB08" w14:textId="77777777" w:rsidR="00025C38" w:rsidRPr="003041FD" w:rsidRDefault="00025C38" w:rsidP="00025C38">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Schwan, French, Gaetz, Ward, Ackerman, Redman (2018) Preventing youth homelessness: an international review of evidence, </w:t>
      </w:r>
    </w:p>
    <w:p w14:paraId="35A1EE56" w14:textId="77777777" w:rsidR="00025C38" w:rsidRPr="003041FD" w:rsidRDefault="00025C38" w:rsidP="00025C38">
      <w:pPr>
        <w:pStyle w:val="EndnoteText"/>
        <w:rPr>
          <w:rFonts w:asciiTheme="minorHAnsi" w:hAnsiTheme="minorHAnsi"/>
          <w:color w:val="auto"/>
          <w:sz w:val="16"/>
          <w:szCs w:val="16"/>
        </w:rPr>
      </w:pPr>
      <w:r w:rsidRPr="003041FD">
        <w:rPr>
          <w:rFonts w:asciiTheme="minorHAnsi" w:hAnsiTheme="minorHAnsi"/>
          <w:color w:val="auto"/>
          <w:sz w:val="16"/>
          <w:szCs w:val="16"/>
        </w:rPr>
        <w:t>https://www.homelesshub.ca/sites/default/files/attachments/180910_WCPP_international_evidence_review__report_submission.pdf</w:t>
      </w:r>
    </w:p>
  </w:endnote>
  <w:endnote w:id="64">
    <w:p w14:paraId="08EB60ED" w14:textId="77777777" w:rsidR="00E0451E" w:rsidRPr="003041FD" w:rsidRDefault="00E0451E" w:rsidP="00E0451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Gaetz and Dej, (2017) A new direction: a framework for homelessness prevention, https://www.homelesshub.ca/ANewDirection</w:t>
      </w:r>
    </w:p>
  </w:endnote>
  <w:endnote w:id="65">
    <w:p w14:paraId="48F2280F" w14:textId="77777777" w:rsidR="00E0451E" w:rsidRPr="003041FD" w:rsidRDefault="00E0451E" w:rsidP="00E0451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Gaetz and Dej, (2017) A new direction: a framework for homelessness prevention, https://www.homelesshub.ca/ANewDirection</w:t>
      </w:r>
    </w:p>
  </w:endnote>
  <w:endnote w:id="66">
    <w:p w14:paraId="0CF797A0" w14:textId="77777777" w:rsidR="00E0451E" w:rsidRPr="003041FD" w:rsidRDefault="00E0451E" w:rsidP="00E0451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Fitzpatrick, Mackie and Wood, (2021) Advancing a five-stage typology of homelessness prevention,</w:t>
      </w:r>
    </w:p>
    <w:p w14:paraId="1180963E" w14:textId="77777777" w:rsidR="00E0451E" w:rsidRPr="003041FD" w:rsidRDefault="00E0451E" w:rsidP="00E0451E">
      <w:pPr>
        <w:pStyle w:val="EndnoteText"/>
        <w:rPr>
          <w:rFonts w:asciiTheme="minorHAnsi" w:hAnsiTheme="minorHAnsi"/>
          <w:color w:val="auto"/>
          <w:sz w:val="16"/>
          <w:szCs w:val="16"/>
        </w:rPr>
      </w:pPr>
      <w:r w:rsidRPr="003041FD">
        <w:rPr>
          <w:rFonts w:asciiTheme="minorHAnsi" w:hAnsiTheme="minorHAnsi"/>
          <w:color w:val="auto"/>
          <w:sz w:val="16"/>
          <w:szCs w:val="16"/>
        </w:rPr>
        <w:t>https://ojs.lib.uwo.ca/index.php/ijoh/article/view/13341/11482</w:t>
      </w:r>
    </w:p>
  </w:endnote>
  <w:endnote w:id="67">
    <w:p w14:paraId="0D107615" w14:textId="77777777" w:rsidR="00E0451E" w:rsidRPr="003041FD" w:rsidRDefault="00E0451E" w:rsidP="00E0451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Flatau, P et al (2021) Ending Homelessness in Australia https://assets.csi.edu.au/assets/research/Ending-Homelessness-in-Australia-An-Evidence-and-Policy-Deep-Dive.pdf</w:t>
      </w:r>
    </w:p>
  </w:endnote>
  <w:endnote w:id="68">
    <w:p w14:paraId="4B8EC7E3" w14:textId="77777777" w:rsidR="00E0451E" w:rsidRPr="003041FD" w:rsidRDefault="00E0451E" w:rsidP="00E0451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Productivity Commission (2022) </w:t>
      </w:r>
      <w:r w:rsidRPr="003041FD">
        <w:rPr>
          <w:rStyle w:val="Hyperlink"/>
          <w:rFonts w:asciiTheme="minorHAnsi" w:hAnsiTheme="minorHAnsi"/>
          <w:color w:val="auto"/>
          <w:sz w:val="16"/>
          <w:szCs w:val="16"/>
        </w:rPr>
        <w:t>‘</w:t>
      </w:r>
      <w:hyperlink r:id="rId20" w:history="1">
        <w:r w:rsidRPr="003041FD">
          <w:rPr>
            <w:rStyle w:val="Hyperlink"/>
            <w:rFonts w:asciiTheme="minorHAnsi" w:hAnsiTheme="minorHAnsi"/>
            <w:color w:val="auto"/>
            <w:sz w:val="16"/>
            <w:szCs w:val="16"/>
          </w:rPr>
          <w:t>In Need of Repair: The National Housing and Homelessness Agreement – Study Report</w:t>
        </w:r>
      </w:hyperlink>
      <w:r w:rsidRPr="003041FD">
        <w:rPr>
          <w:rStyle w:val="Hyperlink"/>
          <w:rFonts w:asciiTheme="minorHAnsi" w:hAnsiTheme="minorHAnsi"/>
          <w:color w:val="auto"/>
          <w:sz w:val="16"/>
          <w:szCs w:val="16"/>
        </w:rPr>
        <w:t>’</w:t>
      </w:r>
    </w:p>
  </w:endnote>
  <w:endnote w:id="69">
    <w:p w14:paraId="3F973B83" w14:textId="77777777" w:rsidR="00E0451E" w:rsidRPr="003041FD" w:rsidRDefault="00E0451E" w:rsidP="00E0451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Mackie, P (2023) Preventing Homelessness and Housing Exclusion: A focus on early intervention, European Journal of Homelessness Vol. 17, No. 1_2023</w:t>
      </w:r>
    </w:p>
  </w:endnote>
  <w:endnote w:id="70">
    <w:p w14:paraId="27D2E795" w14:textId="77777777" w:rsidR="00E0451E" w:rsidRPr="003041FD" w:rsidRDefault="00E0451E" w:rsidP="00E0451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Parliament of Australia House of Representatives Standing Committee on Social Policy and Legal Affairs (2021) </w:t>
      </w:r>
      <w:hyperlink r:id="rId21" w:history="1">
        <w:r w:rsidRPr="003041FD">
          <w:rPr>
            <w:rStyle w:val="Hyperlink"/>
            <w:rFonts w:asciiTheme="minorHAnsi" w:hAnsiTheme="minorHAnsi"/>
            <w:color w:val="auto"/>
            <w:sz w:val="16"/>
            <w:szCs w:val="16"/>
          </w:rPr>
          <w:t>Inquiry into Homelessness in Australia</w:t>
        </w:r>
      </w:hyperlink>
    </w:p>
  </w:endnote>
  <w:endnote w:id="71">
    <w:p w14:paraId="610B148C" w14:textId="77777777" w:rsidR="00E0451E" w:rsidRPr="003041FD" w:rsidRDefault="00E0451E" w:rsidP="00E0451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Schwan, French, Gaetz, Ward, Ackerman, Redman (2018) Preventing youth homelessness: an international review of evidence, </w:t>
      </w:r>
    </w:p>
    <w:p w14:paraId="01201B66" w14:textId="77777777" w:rsidR="00E0451E" w:rsidRPr="003041FD" w:rsidRDefault="00E0451E" w:rsidP="00E0451E">
      <w:pPr>
        <w:pStyle w:val="EndnoteText"/>
        <w:rPr>
          <w:rFonts w:asciiTheme="minorHAnsi" w:hAnsiTheme="minorHAnsi"/>
          <w:color w:val="auto"/>
          <w:sz w:val="16"/>
          <w:szCs w:val="16"/>
        </w:rPr>
      </w:pPr>
      <w:r w:rsidRPr="003041FD">
        <w:rPr>
          <w:rFonts w:asciiTheme="minorHAnsi" w:hAnsiTheme="minorHAnsi"/>
          <w:color w:val="auto"/>
          <w:sz w:val="16"/>
          <w:szCs w:val="16"/>
        </w:rPr>
        <w:t>https://www.homelesshub.ca/sites/default/files/attachments/180910_WCPP_international_evidence_review__report_submission.pdf</w:t>
      </w:r>
    </w:p>
  </w:endnote>
  <w:endnote w:id="72">
    <w:p w14:paraId="47C7D80B" w14:textId="77777777" w:rsidR="00E0451E" w:rsidRPr="003041FD" w:rsidRDefault="00E0451E" w:rsidP="00E0451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hyperlink r:id="rId22" w:anchor="tab-reportsandgovernmentresponses" w:history="1">
        <w:r w:rsidRPr="003041FD">
          <w:rPr>
            <w:rFonts w:asciiTheme="minorHAnsi" w:hAnsiTheme="minorHAnsi"/>
            <w:color w:val="auto"/>
            <w:sz w:val="16"/>
            <w:szCs w:val="16"/>
            <w:u w:val="single"/>
            <w:lang w:eastAsia="en-AU"/>
          </w:rPr>
          <w:t>Legislative Council Standing Committee on Social Issues</w:t>
        </w:r>
      </w:hyperlink>
      <w:r w:rsidRPr="003041FD">
        <w:rPr>
          <w:rFonts w:asciiTheme="minorHAnsi" w:hAnsiTheme="minorHAnsi"/>
          <w:color w:val="auto"/>
          <w:sz w:val="16"/>
          <w:szCs w:val="16"/>
          <w:u w:val="single"/>
          <w:lang w:eastAsia="en-AU"/>
        </w:rPr>
        <w:t xml:space="preserve"> (2022) </w:t>
      </w:r>
      <w:r w:rsidRPr="003041FD">
        <w:rPr>
          <w:rFonts w:asciiTheme="minorHAnsi" w:hAnsiTheme="minorHAnsi"/>
          <w:color w:val="auto"/>
          <w:sz w:val="16"/>
          <w:szCs w:val="16"/>
        </w:rPr>
        <w:t>Inquiry into homelessness amongst older people aged over 55 in New South Wales</w:t>
      </w:r>
    </w:p>
  </w:endnote>
  <w:endnote w:id="73">
    <w:p w14:paraId="58B7FC7B" w14:textId="77777777" w:rsidR="00E0451E" w:rsidRPr="003041FD" w:rsidRDefault="00E0451E" w:rsidP="00E0451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Homelessness NSW (2023) Rare, brief and non-recurring: A system wide approach to ending homelessness together, https://homelessnessnsw.org.au/wp-content/uploads/2023/08/Rare-brief-and-non-recurring-HNSW-2023-PRINT-version-EMBARGOED-until-7-August-23-1.pdf</w:t>
      </w:r>
    </w:p>
  </w:endnote>
  <w:endnote w:id="74">
    <w:p w14:paraId="1EE16E04" w14:textId="77777777" w:rsidR="00331B24" w:rsidRPr="003041FD" w:rsidRDefault="00331B24" w:rsidP="00331B24">
      <w:pPr>
        <w:pStyle w:val="EndnoteText"/>
        <w:rPr>
          <w:rFonts w:asciiTheme="minorHAnsi" w:hAnsiTheme="minorHAnsi"/>
          <w:color w:val="auto"/>
          <w:sz w:val="16"/>
          <w:szCs w:val="16"/>
          <w:lang w:val="en-US"/>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Tsemberis, S. (1999) ‘From streets to homes: an innovative approach to supported housing for homeless adults with psychiatric disabilities’, </w:t>
      </w:r>
      <w:r w:rsidRPr="003041FD">
        <w:rPr>
          <w:rFonts w:asciiTheme="minorHAnsi" w:hAnsiTheme="minorHAnsi"/>
          <w:i/>
          <w:iCs/>
          <w:color w:val="auto"/>
          <w:sz w:val="16"/>
          <w:szCs w:val="16"/>
        </w:rPr>
        <w:t>Journal of Community Psychology</w:t>
      </w:r>
      <w:r w:rsidRPr="003041FD">
        <w:rPr>
          <w:rFonts w:asciiTheme="minorHAnsi" w:hAnsiTheme="minorHAnsi"/>
          <w:color w:val="auto"/>
          <w:sz w:val="16"/>
          <w:szCs w:val="16"/>
        </w:rPr>
        <w:t>, vol. 27, no. 2: 225-241.</w:t>
      </w:r>
    </w:p>
  </w:endnote>
  <w:endnote w:id="75">
    <w:p w14:paraId="49465F8D" w14:textId="77777777" w:rsidR="00331B24" w:rsidRPr="003041FD" w:rsidRDefault="00331B24" w:rsidP="00331B2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Roggenbuck, C. (2022) Housing First: An evidence review of implementation, effectiveness and outcomes, report prepared by AHURI, https://www.ahuri.edu.au/sites/default/files/documents/2022-08/AHURI-Prof-Services-Housing-First-An-evidence-review-of-implementation-effectiveness-and-outcomes.pdf</w:t>
      </w:r>
    </w:p>
  </w:endnote>
  <w:endnote w:id="76">
    <w:p w14:paraId="2BCC84BB" w14:textId="77777777" w:rsidR="00331B24" w:rsidRPr="003041FD" w:rsidRDefault="00331B24" w:rsidP="00331B2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Aubry, T. (2020) ‘Analysis of Housing First as a practical and policy relevant intervention: the current state of knowledge and future directions for research’, </w:t>
      </w:r>
      <w:r w:rsidRPr="003041FD">
        <w:rPr>
          <w:rFonts w:asciiTheme="minorHAnsi" w:hAnsiTheme="minorHAnsi"/>
          <w:i/>
          <w:iCs/>
          <w:color w:val="auto"/>
          <w:sz w:val="16"/>
          <w:szCs w:val="16"/>
        </w:rPr>
        <w:t>European Journal of Homelessness</w:t>
      </w:r>
      <w:r w:rsidRPr="003041FD">
        <w:rPr>
          <w:rFonts w:asciiTheme="minorHAnsi" w:hAnsiTheme="minorHAnsi"/>
          <w:color w:val="auto"/>
          <w:sz w:val="16"/>
          <w:szCs w:val="16"/>
        </w:rPr>
        <w:t>, vol. 14, no. 1: 13-26; Goering, P., Veldhuizen, S., Watson, A., Adair, C., Kopp, B., Latimer, E., Nelson, G., MacNaughton, E., Streiner D. and Aubry, T. (2014)</w:t>
      </w:r>
      <w:r w:rsidRPr="003041FD">
        <w:rPr>
          <w:rFonts w:asciiTheme="minorHAnsi" w:hAnsiTheme="minorHAnsi"/>
          <w:i/>
          <w:iCs/>
          <w:color w:val="auto"/>
          <w:sz w:val="16"/>
          <w:szCs w:val="16"/>
        </w:rPr>
        <w:t xml:space="preserve"> National At Home/Chez Soi Final Report</w:t>
      </w:r>
      <w:r w:rsidRPr="003041FD">
        <w:rPr>
          <w:rFonts w:asciiTheme="minorHAnsi" w:hAnsiTheme="minorHAnsi"/>
          <w:color w:val="auto"/>
          <w:sz w:val="16"/>
          <w:szCs w:val="16"/>
        </w:rPr>
        <w:t>, Mental Health Commission of Canada, Calgary, Canada.</w:t>
      </w:r>
    </w:p>
  </w:endnote>
  <w:endnote w:id="77">
    <w:p w14:paraId="600CD1F9" w14:textId="77777777" w:rsidR="00331B24" w:rsidRPr="003041FD" w:rsidRDefault="00331B24" w:rsidP="00331B2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r w:rsidRPr="003041FD">
        <w:rPr>
          <w:rFonts w:asciiTheme="minorHAnsi" w:hAnsiTheme="minorHAnsi"/>
          <w:color w:val="auto"/>
          <w:sz w:val="16"/>
          <w:szCs w:val="16"/>
          <w:lang w:val="en-US"/>
        </w:rPr>
        <w:t xml:space="preserve">Brackertz, N. (2023) </w:t>
      </w:r>
      <w:r w:rsidRPr="003041FD">
        <w:rPr>
          <w:rFonts w:asciiTheme="minorHAnsi" w:hAnsiTheme="minorHAnsi"/>
          <w:i/>
          <w:iCs/>
          <w:color w:val="auto"/>
          <w:sz w:val="16"/>
          <w:szCs w:val="16"/>
          <w:lang w:val="en-US"/>
        </w:rPr>
        <w:t>Together Home Program Evaluation: System Impacts Paper</w:t>
      </w:r>
      <w:r w:rsidRPr="003041FD">
        <w:rPr>
          <w:rFonts w:asciiTheme="minorHAnsi" w:hAnsiTheme="minorHAnsi"/>
          <w:color w:val="auto"/>
          <w:sz w:val="16"/>
          <w:szCs w:val="16"/>
          <w:lang w:val="en-US"/>
        </w:rPr>
        <w:t>, AHURI Professional Services for NSW Department of Communities and Justice, Australian Housing and Urban Research Institute Limited, Melbourne.</w:t>
      </w:r>
    </w:p>
  </w:endnote>
  <w:endnote w:id="78">
    <w:p w14:paraId="66E027B4" w14:textId="77777777" w:rsidR="00331B24" w:rsidRPr="003041FD" w:rsidRDefault="00331B24" w:rsidP="00331B2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Flatau, P et al (2021) Ending Homelessness in Australia https://assets.csi.edu.au/assets/research/Ending-Homelessness-in-Australia-An-Evidence-and-Policy-Deep-Dive.pdf</w:t>
      </w:r>
    </w:p>
  </w:endnote>
  <w:endnote w:id="79">
    <w:p w14:paraId="406013F6" w14:textId="77777777" w:rsidR="00331B24" w:rsidRPr="003041FD" w:rsidRDefault="00331B24" w:rsidP="00331B2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Duff, C., Randall, S., Hill, N., Martin, C., Martin, R. (2022) Enhancing the coordination of housing supports for individuals leaving institutional settings, AHURI Final Report No. 379, Australian Housing and Urban Research Institute Limited, Melbourne, https://www.ahuri.edu.au/research/final-reports/379</w:t>
      </w:r>
    </w:p>
  </w:endnote>
  <w:endnote w:id="80">
    <w:p w14:paraId="40EA899A" w14:textId="77777777" w:rsidR="00331B24" w:rsidRPr="003041FD" w:rsidRDefault="00331B24" w:rsidP="00331B2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Duff, C., Randall, S., Hill, N., Martin, C., Martin, R. (2022) Enhancing the coordination of housing supports for individuals leaving institutional settings, AHURI Final Report No. 379, Australian Housing and Urban Research Institute Limited, Melbourne, https://www.ahuri.edu.au/research/final-reports/379</w:t>
      </w:r>
    </w:p>
  </w:endnote>
  <w:endnote w:id="81">
    <w:p w14:paraId="00ADAC7F" w14:textId="77777777" w:rsidR="00331B24" w:rsidRPr="003041FD" w:rsidRDefault="00331B24" w:rsidP="00331B2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hyperlink r:id="rId23" w:anchor="tab-reportsandgovernmentresponses" w:history="1">
        <w:r w:rsidRPr="003041FD">
          <w:rPr>
            <w:rFonts w:asciiTheme="minorHAnsi" w:hAnsiTheme="minorHAnsi"/>
            <w:color w:val="auto"/>
            <w:sz w:val="16"/>
            <w:szCs w:val="16"/>
            <w:u w:val="single"/>
            <w:lang w:eastAsia="en-AU"/>
          </w:rPr>
          <w:t>Legislative Council Standing Committee on Social Issues</w:t>
        </w:r>
      </w:hyperlink>
      <w:r w:rsidRPr="003041FD">
        <w:rPr>
          <w:rFonts w:asciiTheme="minorHAnsi" w:hAnsiTheme="minorHAnsi"/>
          <w:color w:val="auto"/>
          <w:sz w:val="16"/>
          <w:szCs w:val="16"/>
          <w:u w:val="single"/>
          <w:lang w:eastAsia="en-AU"/>
        </w:rPr>
        <w:t xml:space="preserve"> (2022) </w:t>
      </w:r>
      <w:r w:rsidRPr="003041FD">
        <w:rPr>
          <w:rFonts w:asciiTheme="minorHAnsi" w:hAnsiTheme="minorHAnsi"/>
          <w:color w:val="auto"/>
          <w:sz w:val="16"/>
          <w:szCs w:val="16"/>
        </w:rPr>
        <w:t>Inquiry into homelessness amongst older people aged over 55 in New South Wales</w:t>
      </w:r>
    </w:p>
  </w:endnote>
  <w:endnote w:id="82">
    <w:p w14:paraId="21BF258F" w14:textId="77777777" w:rsidR="00331B24" w:rsidRPr="003041FD" w:rsidRDefault="00331B24" w:rsidP="00331B2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hyperlink r:id="rId24" w:anchor="tab-reportsandgovernmentresponses" w:history="1">
        <w:r w:rsidRPr="003041FD">
          <w:rPr>
            <w:rFonts w:asciiTheme="minorHAnsi" w:hAnsiTheme="minorHAnsi"/>
            <w:color w:val="auto"/>
            <w:sz w:val="16"/>
            <w:szCs w:val="16"/>
            <w:u w:val="single"/>
            <w:lang w:eastAsia="en-AU"/>
          </w:rPr>
          <w:t>Legislative Council Standing Committee on Social Issues</w:t>
        </w:r>
      </w:hyperlink>
      <w:r w:rsidRPr="003041FD">
        <w:rPr>
          <w:rFonts w:asciiTheme="minorHAnsi" w:hAnsiTheme="minorHAnsi"/>
          <w:color w:val="auto"/>
          <w:sz w:val="16"/>
          <w:szCs w:val="16"/>
          <w:u w:val="single"/>
          <w:lang w:eastAsia="en-AU"/>
        </w:rPr>
        <w:t xml:space="preserve"> (2022) </w:t>
      </w:r>
      <w:r w:rsidRPr="003041FD">
        <w:rPr>
          <w:rFonts w:asciiTheme="minorHAnsi" w:hAnsiTheme="minorHAnsi"/>
          <w:color w:val="auto"/>
          <w:sz w:val="16"/>
          <w:szCs w:val="16"/>
        </w:rPr>
        <w:t>Inquiry into homelessness amongst older people aged over 55 in New South Wales</w:t>
      </w:r>
    </w:p>
  </w:endnote>
  <w:endnote w:id="83">
    <w:p w14:paraId="661AD0BB" w14:textId="77777777" w:rsidR="00BF7968" w:rsidRPr="003041FD" w:rsidRDefault="00BF7968" w:rsidP="00BF7968">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Productivity Commission (2022) </w:t>
      </w:r>
      <w:r w:rsidRPr="003041FD">
        <w:rPr>
          <w:rStyle w:val="Hyperlink"/>
          <w:rFonts w:asciiTheme="minorHAnsi" w:hAnsiTheme="minorHAnsi"/>
          <w:color w:val="auto"/>
          <w:sz w:val="16"/>
          <w:szCs w:val="16"/>
        </w:rPr>
        <w:t>‘</w:t>
      </w:r>
      <w:hyperlink r:id="rId25" w:history="1">
        <w:r w:rsidRPr="003041FD">
          <w:rPr>
            <w:rStyle w:val="Hyperlink"/>
            <w:rFonts w:asciiTheme="minorHAnsi" w:hAnsiTheme="minorHAnsi"/>
            <w:color w:val="auto"/>
            <w:sz w:val="16"/>
            <w:szCs w:val="16"/>
          </w:rPr>
          <w:t>In Need of Repair: The National Housing and Homelessness Agreement – Study Report</w:t>
        </w:r>
      </w:hyperlink>
      <w:r w:rsidRPr="003041FD">
        <w:rPr>
          <w:rStyle w:val="Hyperlink"/>
          <w:rFonts w:asciiTheme="minorHAnsi" w:hAnsiTheme="minorHAnsi"/>
          <w:color w:val="auto"/>
          <w:sz w:val="16"/>
          <w:szCs w:val="16"/>
        </w:rPr>
        <w:t>’</w:t>
      </w:r>
    </w:p>
  </w:endnote>
  <w:endnote w:id="84">
    <w:p w14:paraId="3FDF7BFF" w14:textId="77777777" w:rsidR="00331B24" w:rsidRPr="003041FD" w:rsidRDefault="00331B24" w:rsidP="00331B2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Parliament of Australia House of Representatives Standing Committee on Social Policy and Legal Affairs (2021) </w:t>
      </w:r>
      <w:hyperlink r:id="rId26" w:history="1">
        <w:r w:rsidRPr="003041FD">
          <w:rPr>
            <w:rStyle w:val="Hyperlink"/>
            <w:rFonts w:asciiTheme="minorHAnsi" w:hAnsiTheme="minorHAnsi"/>
            <w:color w:val="auto"/>
            <w:sz w:val="16"/>
            <w:szCs w:val="16"/>
          </w:rPr>
          <w:t>Inquiry into Homelessness in Australia</w:t>
        </w:r>
      </w:hyperlink>
    </w:p>
  </w:endnote>
  <w:endnote w:id="85">
    <w:p w14:paraId="57A17E07" w14:textId="77777777" w:rsidR="008C7387" w:rsidRPr="003041FD" w:rsidRDefault="008C7387" w:rsidP="008C7387">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Council to Homeless Persons </w:t>
      </w:r>
      <w:hyperlink r:id="rId27" w:history="1">
        <w:r w:rsidRPr="003041FD">
          <w:rPr>
            <w:rFonts w:asciiTheme="minorHAnsi" w:hAnsiTheme="minorHAnsi"/>
            <w:color w:val="auto"/>
            <w:sz w:val="16"/>
            <w:szCs w:val="16"/>
            <w:u w:val="single"/>
          </w:rPr>
          <w:t>Person-Centred Practice Guide (chp.org.au)</w:t>
        </w:r>
      </w:hyperlink>
    </w:p>
  </w:endnote>
  <w:endnote w:id="86">
    <w:p w14:paraId="190401EF" w14:textId="70391367" w:rsidR="00B827BA" w:rsidRPr="003041FD" w:rsidRDefault="00B827BA">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NSW Health </w:t>
      </w:r>
      <w:hyperlink r:id="rId28" w:history="1">
        <w:r w:rsidRPr="003041FD">
          <w:rPr>
            <w:rFonts w:asciiTheme="minorHAnsi" w:hAnsiTheme="minorHAnsi"/>
            <w:color w:val="auto"/>
            <w:sz w:val="16"/>
            <w:szCs w:val="16"/>
            <w:u w:val="single"/>
          </w:rPr>
          <w:t>What is a person-led approach? - Principles for effective support (nsw.gov.au)</w:t>
        </w:r>
      </w:hyperlink>
    </w:p>
  </w:endnote>
  <w:endnote w:id="87">
    <w:p w14:paraId="2635EF3D" w14:textId="77777777" w:rsidR="008C7387" w:rsidRPr="003041FD" w:rsidRDefault="008C7387" w:rsidP="008C7387">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Council to Homeless Persons </w:t>
      </w:r>
      <w:hyperlink r:id="rId29">
        <w:r w:rsidRPr="003041FD">
          <w:rPr>
            <w:rFonts w:asciiTheme="minorHAnsi" w:hAnsiTheme="minorHAnsi"/>
            <w:color w:val="auto"/>
            <w:sz w:val="16"/>
            <w:szCs w:val="16"/>
            <w:u w:val="single"/>
          </w:rPr>
          <w:t>Person-Centred Practice Guide (chp.org.au)</w:t>
        </w:r>
      </w:hyperlink>
    </w:p>
  </w:endnote>
  <w:endnote w:id="88">
    <w:p w14:paraId="102D0909" w14:textId="6E7BE416" w:rsidR="00B827BA" w:rsidRPr="003041FD" w:rsidRDefault="00B827BA">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Productivity Commission (2022) </w:t>
      </w:r>
      <w:r w:rsidRPr="003041FD">
        <w:rPr>
          <w:rStyle w:val="Hyperlink"/>
          <w:rFonts w:asciiTheme="minorHAnsi" w:hAnsiTheme="minorHAnsi"/>
          <w:color w:val="auto"/>
          <w:sz w:val="16"/>
          <w:szCs w:val="16"/>
        </w:rPr>
        <w:t>‘</w:t>
      </w:r>
      <w:hyperlink r:id="rId30" w:history="1">
        <w:r w:rsidRPr="003041FD">
          <w:rPr>
            <w:rStyle w:val="Hyperlink"/>
            <w:rFonts w:asciiTheme="minorHAnsi" w:hAnsiTheme="minorHAnsi"/>
            <w:color w:val="auto"/>
            <w:sz w:val="16"/>
            <w:szCs w:val="16"/>
          </w:rPr>
          <w:t>In Need of Repair: The National Housing and Homelessness Agreement – Study Report</w:t>
        </w:r>
      </w:hyperlink>
      <w:r w:rsidRPr="003041FD">
        <w:rPr>
          <w:rStyle w:val="Hyperlink"/>
          <w:rFonts w:asciiTheme="minorHAnsi" w:hAnsiTheme="minorHAnsi"/>
          <w:color w:val="auto"/>
          <w:sz w:val="16"/>
          <w:szCs w:val="16"/>
        </w:rPr>
        <w:t>’</w:t>
      </w:r>
    </w:p>
  </w:endnote>
  <w:endnote w:id="89">
    <w:p w14:paraId="6F284486" w14:textId="58DF8EAD" w:rsidR="00C56B5D" w:rsidRPr="003041FD" w:rsidRDefault="00C56B5D">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Council to Homeless Persons </w:t>
      </w:r>
      <w:hyperlink r:id="rId31" w:history="1">
        <w:r w:rsidRPr="003041FD">
          <w:rPr>
            <w:rFonts w:asciiTheme="minorHAnsi" w:hAnsiTheme="minorHAnsi"/>
            <w:color w:val="auto"/>
            <w:sz w:val="16"/>
            <w:szCs w:val="16"/>
            <w:u w:val="single"/>
          </w:rPr>
          <w:t>Person-Centred Practice Guide (chp.org.au)</w:t>
        </w:r>
      </w:hyperlink>
    </w:p>
  </w:endnote>
  <w:endnote w:id="90">
    <w:p w14:paraId="5B8E07D9" w14:textId="77777777" w:rsidR="00B453CD" w:rsidRPr="003041FD" w:rsidRDefault="00B453CD" w:rsidP="00B453CD">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Centre for Public Impact (2019) Do place-based approaches hold the key to unlocking potential in Australian communities?</w:t>
      </w:r>
    </w:p>
  </w:endnote>
  <w:endnote w:id="91">
    <w:p w14:paraId="1A0079F7" w14:textId="77777777" w:rsidR="003041FD" w:rsidRPr="003041FD" w:rsidRDefault="003041FD" w:rsidP="003041FD">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Neale et al., Integrating service delivery in a regional homelessness service system, 2016.</w:t>
      </w:r>
    </w:p>
  </w:endnote>
  <w:endnote w:id="92">
    <w:p w14:paraId="3F0CFFA6" w14:textId="77777777" w:rsidR="002D4D94" w:rsidRPr="003041FD" w:rsidRDefault="002D4D94" w:rsidP="002D4D9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Parliament of Australia House of Representatives Standing Committee on Social Policy and Legal Affairs (2021) </w:t>
      </w:r>
      <w:hyperlink r:id="rId32" w:history="1">
        <w:r w:rsidRPr="003041FD">
          <w:rPr>
            <w:rStyle w:val="Hyperlink"/>
            <w:rFonts w:asciiTheme="minorHAnsi" w:hAnsiTheme="minorHAnsi"/>
            <w:color w:val="auto"/>
            <w:sz w:val="16"/>
            <w:szCs w:val="16"/>
          </w:rPr>
          <w:t>Inquiry into Homelessness in Australia</w:t>
        </w:r>
      </w:hyperlink>
    </w:p>
  </w:endnote>
  <w:endnote w:id="93">
    <w:p w14:paraId="70B8477D" w14:textId="77777777" w:rsidR="002D4D94" w:rsidRPr="003041FD" w:rsidRDefault="002D4D94" w:rsidP="002D4D94">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w:t>
      </w:r>
      <w:hyperlink r:id="rId33" w:anchor="tab-reportsandgovernmentresponses" w:history="1">
        <w:r w:rsidRPr="003041FD">
          <w:rPr>
            <w:rFonts w:asciiTheme="minorHAnsi" w:hAnsiTheme="minorHAnsi"/>
            <w:color w:val="auto"/>
            <w:sz w:val="16"/>
            <w:szCs w:val="16"/>
            <w:u w:val="single"/>
            <w:lang w:eastAsia="en-AU"/>
          </w:rPr>
          <w:t>Legislative Council Standing Committee on Social Issues</w:t>
        </w:r>
      </w:hyperlink>
      <w:r w:rsidRPr="003041FD">
        <w:rPr>
          <w:rFonts w:asciiTheme="minorHAnsi" w:hAnsiTheme="minorHAnsi"/>
          <w:color w:val="auto"/>
          <w:sz w:val="16"/>
          <w:szCs w:val="16"/>
          <w:u w:val="single"/>
          <w:lang w:eastAsia="en-AU"/>
        </w:rPr>
        <w:t xml:space="preserve"> (2022) </w:t>
      </w:r>
      <w:r w:rsidRPr="003041FD">
        <w:rPr>
          <w:rFonts w:asciiTheme="minorHAnsi" w:hAnsiTheme="minorHAnsi"/>
          <w:color w:val="auto"/>
          <w:sz w:val="16"/>
          <w:szCs w:val="16"/>
        </w:rPr>
        <w:t>Inquiry into homelessness amongst older people aged over 55 in New South Wales</w:t>
      </w:r>
    </w:p>
  </w:endnote>
  <w:endnote w:id="94">
    <w:p w14:paraId="68D71802" w14:textId="77777777" w:rsidR="00D72C4E" w:rsidRPr="003041FD" w:rsidRDefault="00D72C4E" w:rsidP="00D72C4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Australian Human Rights Commission (2008) Homelessness is a Human Rights Issue, https://humanrights.gov.au/our-work/publications/homelessness-human-rights-issue-2008</w:t>
      </w:r>
    </w:p>
  </w:endnote>
  <w:endnote w:id="95">
    <w:p w14:paraId="1EC0EDDA" w14:textId="77777777" w:rsidR="00D72C4E" w:rsidRPr="003041FD" w:rsidRDefault="00D72C4E" w:rsidP="00D72C4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The Centre for Homelessness Impact (2020) The SHARE Framework, https://assets.website-files.com/5d7f84f3a3db0809b43d2dec/5e4515966e788a7f6fce9c93_SHARE_report_Feb13.pdf</w:t>
      </w:r>
    </w:p>
  </w:endnote>
  <w:endnote w:id="96">
    <w:p w14:paraId="6A7197F6" w14:textId="77777777" w:rsidR="00D72C4E" w:rsidRPr="003041FD" w:rsidRDefault="00D72C4E" w:rsidP="00D72C4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Audit Office of NSW (2021)</w:t>
      </w:r>
      <w:r w:rsidRPr="003041FD">
        <w:rPr>
          <w:rFonts w:asciiTheme="minorHAnsi" w:eastAsiaTheme="minorHAnsi" w:hAnsiTheme="minorHAnsi"/>
          <w:color w:val="auto"/>
          <w:sz w:val="16"/>
          <w:szCs w:val="16"/>
          <w:lang w:eastAsia="en-US"/>
        </w:rPr>
        <w:t xml:space="preserve"> ‘</w:t>
      </w:r>
      <w:hyperlink r:id="rId34" w:anchor=":~:text=The%20Department's%20latest%20annual%20state,February%202020%20and%20February%202021" w:history="1">
        <w:r w:rsidRPr="003041FD">
          <w:rPr>
            <w:rStyle w:val="Hyperlink"/>
            <w:rFonts w:asciiTheme="minorHAnsi" w:eastAsiaTheme="minorHAnsi" w:hAnsiTheme="minorHAnsi"/>
            <w:color w:val="auto"/>
            <w:sz w:val="16"/>
            <w:szCs w:val="16"/>
            <w:lang w:eastAsia="en-US"/>
          </w:rPr>
          <w:t>Responses to homelessness</w:t>
        </w:r>
      </w:hyperlink>
      <w:r w:rsidRPr="003041FD">
        <w:rPr>
          <w:rFonts w:asciiTheme="minorHAnsi" w:eastAsiaTheme="minorHAnsi" w:hAnsiTheme="minorHAnsi"/>
          <w:color w:val="auto"/>
          <w:sz w:val="16"/>
          <w:szCs w:val="16"/>
          <w:lang w:eastAsia="en-US"/>
        </w:rPr>
        <w:t>’ – assessed how effect the NSW Homelessness Strategy 2018 – 2023 was in addressing homelessness.</w:t>
      </w:r>
    </w:p>
  </w:endnote>
  <w:endnote w:id="97">
    <w:p w14:paraId="22DFBB6B" w14:textId="77777777" w:rsidR="00D72C4E" w:rsidRPr="003041FD" w:rsidRDefault="00D72C4E" w:rsidP="00D72C4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Duff, C., Randall, S., Hill, N., Martin, C., Martin, R. (2022) Enhancing the coordination of housing supports for individuals leaving institutional settings, AHURI Final Report No. 379, Australian Housing and Urban Research Institute Limited, Melbourne, https://www.ahuri.edu.au/research/final-reports/379</w:t>
      </w:r>
    </w:p>
  </w:endnote>
  <w:endnote w:id="98">
    <w:p w14:paraId="7C25C5CB" w14:textId="77777777" w:rsidR="00D72C4E" w:rsidRPr="003041FD" w:rsidRDefault="00D72C4E" w:rsidP="00D72C4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Parliament of Australia House of Representatives Standing Committee on Social Policy and Legal Affairs (2021) </w:t>
      </w:r>
      <w:hyperlink r:id="rId35" w:history="1">
        <w:r w:rsidRPr="003041FD">
          <w:rPr>
            <w:rStyle w:val="Hyperlink"/>
            <w:rFonts w:asciiTheme="minorHAnsi" w:hAnsiTheme="minorHAnsi"/>
            <w:color w:val="auto"/>
            <w:sz w:val="16"/>
            <w:szCs w:val="16"/>
          </w:rPr>
          <w:t>Inquiry into Homelessness in Australia</w:t>
        </w:r>
      </w:hyperlink>
    </w:p>
  </w:endnote>
  <w:endnote w:id="99">
    <w:p w14:paraId="36239DE9" w14:textId="77777777" w:rsidR="003041FD" w:rsidRPr="003041FD" w:rsidRDefault="003041FD" w:rsidP="003041FD">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James, A., Dunlop, P.D., Gilbert, C., Gilbert, J., Gagné, M., Parsell, C., Cawthray, J. and Farid, H. (2023) Investigative Panel into building and retaining an effective homelessness sector workforce, AHURI Final Report No. 409, Australian Housing and Urban Research Institute Limited, Melbourne, https://www.ahuri.edu.au/research/final-reports/409, doi: 10.18408/ahuri8128901 </w:t>
      </w:r>
    </w:p>
  </w:endnote>
  <w:endnote w:id="100">
    <w:p w14:paraId="5F0721DF" w14:textId="77777777" w:rsidR="003041FD" w:rsidRPr="003041FD" w:rsidRDefault="003041FD" w:rsidP="003041FD">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James, A., Dunlop, P.D., Gilbert, C., Gilbert, J., Gagné, M., Parsell, C., Cawthray, J. and Farid, H. (2023) Investigative Panel into building and retaining an effective homelessness sector workforce, AHURI Final Report No. 409, Australian Housing and Urban Research Institute Limited, Melbourne, https://www.ahuri.edu.au/research/final-reports/409, doi: 10.18408/ahuri8128901 </w:t>
      </w:r>
    </w:p>
  </w:endnote>
  <w:endnote w:id="101">
    <w:p w14:paraId="6D79E220" w14:textId="1D8A4A00" w:rsidR="003041FD" w:rsidRPr="003041FD" w:rsidRDefault="003041FD">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Flatau et al., Ending Homelessness in Australia – An evidence and policy deep dive, 2021.</w:t>
      </w:r>
    </w:p>
  </w:endnote>
  <w:endnote w:id="102">
    <w:p w14:paraId="6B6F9D26" w14:textId="77777777" w:rsidR="0011290E" w:rsidRPr="003041FD" w:rsidRDefault="0011290E" w:rsidP="0011290E">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Dej et al., Turning off the tap: A typology for homelessness prevention, 2020.</w:t>
      </w:r>
    </w:p>
  </w:endnote>
  <w:endnote w:id="103">
    <w:p w14:paraId="64B4D22B" w14:textId="1B38446E" w:rsidR="003041FD" w:rsidRPr="003041FD" w:rsidRDefault="003041FD">
      <w:pPr>
        <w:pStyle w:val="EndnoteText"/>
        <w:rPr>
          <w:rFonts w:asciiTheme="minorHAnsi" w:hAnsiTheme="minorHAnsi"/>
          <w:color w:val="auto"/>
          <w:sz w:val="16"/>
          <w:szCs w:val="16"/>
        </w:rPr>
      </w:pPr>
      <w:r w:rsidRPr="003041FD">
        <w:rPr>
          <w:rStyle w:val="EndnoteReference"/>
          <w:rFonts w:asciiTheme="minorHAnsi" w:hAnsiTheme="minorHAnsi"/>
          <w:color w:val="auto"/>
          <w:sz w:val="16"/>
          <w:szCs w:val="16"/>
        </w:rPr>
        <w:endnoteRef/>
      </w:r>
      <w:r w:rsidRPr="003041FD">
        <w:rPr>
          <w:rFonts w:asciiTheme="minorHAnsi" w:hAnsiTheme="minorHAnsi"/>
          <w:color w:val="auto"/>
          <w:sz w:val="16"/>
          <w:szCs w:val="16"/>
        </w:rPr>
        <w:t xml:space="preserve"> Audit Office of NSW (2021)</w:t>
      </w:r>
      <w:r w:rsidRPr="003041FD">
        <w:rPr>
          <w:rFonts w:asciiTheme="minorHAnsi" w:eastAsiaTheme="minorHAnsi" w:hAnsiTheme="minorHAnsi"/>
          <w:color w:val="auto"/>
          <w:sz w:val="16"/>
          <w:szCs w:val="16"/>
          <w:lang w:eastAsia="en-US"/>
        </w:rPr>
        <w:t xml:space="preserve"> ‘</w:t>
      </w:r>
      <w:hyperlink r:id="rId36" w:anchor=":~:text=The%20Department's%20latest%20annual%20state,February%202020%20and%20February%202021" w:history="1">
        <w:r w:rsidRPr="003041FD">
          <w:rPr>
            <w:rStyle w:val="Hyperlink"/>
            <w:rFonts w:asciiTheme="minorHAnsi" w:eastAsiaTheme="minorHAnsi" w:hAnsiTheme="minorHAnsi"/>
            <w:color w:val="auto"/>
            <w:sz w:val="16"/>
            <w:szCs w:val="16"/>
            <w:lang w:eastAsia="en-US"/>
          </w:rPr>
          <w:t>Responses to homelessness</w:t>
        </w:r>
      </w:hyperlink>
      <w:r w:rsidRPr="003041FD">
        <w:rPr>
          <w:rFonts w:asciiTheme="minorHAnsi" w:eastAsiaTheme="minorHAnsi" w:hAnsiTheme="minorHAnsi"/>
          <w:color w:val="auto"/>
          <w:sz w:val="16"/>
          <w:szCs w:val="16"/>
          <w:lang w:eastAsia="en-US"/>
        </w:rPr>
        <w:t>’ – assessed how effect the NSW Homelessness Strategy 2018 – 2023 was in addressing homelessness.</w:t>
      </w:r>
    </w:p>
  </w:endnote>
  <w:endnote w:id="104">
    <w:p w14:paraId="33EB2748" w14:textId="6C28678A" w:rsidR="00BF7968" w:rsidRDefault="00BF7968">
      <w:pPr>
        <w:pStyle w:val="EndnoteText"/>
      </w:pPr>
      <w:r w:rsidRPr="00BF7968">
        <w:rPr>
          <w:rStyle w:val="EndnoteReference"/>
          <w:color w:val="auto"/>
        </w:rPr>
        <w:endnoteRef/>
      </w:r>
      <w:r w:rsidRPr="00BF7968">
        <w:rPr>
          <w:color w:val="auto"/>
        </w:rPr>
        <w:t xml:space="preserve"> </w:t>
      </w:r>
      <w:r w:rsidRPr="00BF7968">
        <w:rPr>
          <w:rFonts w:asciiTheme="minorHAnsi" w:hAnsiTheme="minorHAnsi"/>
          <w:color w:val="auto"/>
          <w:sz w:val="16"/>
          <w:szCs w:val="16"/>
        </w:rPr>
        <w:t xml:space="preserve">Parliament of Australia House of Representatives Standing Committee on Social Policy and Legal Affairs (2021) </w:t>
      </w:r>
      <w:hyperlink r:id="rId37" w:history="1">
        <w:r w:rsidRPr="00BF7968">
          <w:rPr>
            <w:rStyle w:val="Hyperlink"/>
            <w:rFonts w:asciiTheme="minorHAnsi" w:hAnsiTheme="minorHAnsi"/>
            <w:color w:val="auto"/>
            <w:sz w:val="16"/>
            <w:szCs w:val="16"/>
          </w:rPr>
          <w:t>Inquiry into Homelessness in Australia</w:t>
        </w:r>
      </w:hyperlink>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ublic Sans Light">
    <w:altName w:val="Cambria"/>
    <w:panose1 w:val="00000000000000000000"/>
    <w:charset w:val="00"/>
    <w:family w:val="auto"/>
    <w:pitch w:val="variable"/>
    <w:sig w:usb0="A00000FF" w:usb1="4000205B" w:usb2="00000000" w:usb3="00000000" w:csb0="00000193" w:csb1="00000000"/>
    <w:embedRegular r:id="rId1" w:fontKey="{68F8AB15-E27A-4CCB-BDD1-526379539DB3}"/>
    <w:embedBold r:id="rId2" w:fontKey="{E6986A48-D1DF-44B7-AFFF-AA5344B4E0B8}"/>
    <w:embedItalic r:id="rId3" w:fontKey="{7B7A9329-B139-410E-8D33-175EE7A98755}"/>
    <w:embedBoldItalic r:id="rId4" w:fontKey="{A9383D60-E206-4806-881C-95865F27E1B0}"/>
  </w:font>
  <w:font w:name="Reckless Neue">
    <w:altName w:val="Calibri"/>
    <w:charset w:val="00"/>
    <w:family w:val="auto"/>
    <w:pitch w:val="variable"/>
    <w:sig w:usb0="00000007" w:usb1="00000000" w:usb2="00000000" w:usb3="00000000" w:csb0="00000093" w:csb1="00000000"/>
  </w:font>
  <w:font w:name="Avenir-Book">
    <w:altName w:val="Arial"/>
    <w:charset w:val="00"/>
    <w:family w:val="swiss"/>
    <w:pitch w:val="variable"/>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embedRegular r:id="rId5" w:subsetted="1" w:fontKey="{5B49E5DB-1367-4CD7-BAEB-BFDD012A6DB7}"/>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MT">
    <w:altName w:val="Arial"/>
    <w:charset w:val="4D"/>
    <w:family w:val="auto"/>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Public Sans">
    <w:panose1 w:val="00000000000000000000"/>
    <w:charset w:val="00"/>
    <w:family w:val="auto"/>
    <w:pitch w:val="variable"/>
    <w:sig w:usb0="A00000FF" w:usb1="4000205B" w:usb2="00000000" w:usb3="00000000" w:csb0="00000193" w:csb1="00000000"/>
  </w:font>
  <w:font w:name="PublicSans-Light">
    <w:altName w:val="Calibri"/>
    <w:panose1 w:val="00000000000000000000"/>
    <w:charset w:val="4D"/>
    <w:family w:val="auto"/>
    <w:notTrueType/>
    <w:pitch w:val="default"/>
    <w:sig w:usb0="00000003" w:usb1="00000000" w:usb2="00000000" w:usb3="00000000" w:csb0="00000001" w:csb1="00000000"/>
  </w:font>
  <w:font w:name="Arial Bold">
    <w:altName w:val="Arial"/>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Yu Gothic">
    <w:panose1 w:val="020B0400000000000000"/>
    <w:charset w:val="80"/>
    <w:family w:val="swiss"/>
    <w:pitch w:val="variable"/>
    <w:sig w:usb0="E00002FF" w:usb1="2AC7FDFF" w:usb2="00000016" w:usb3="00000000" w:csb0="0002009F" w:csb1="00000000"/>
  </w:font>
  <w:font w:name="Segoe UI Semibold">
    <w:panose1 w:val="020B0702040204020203"/>
    <w:charset w:val="00"/>
    <w:family w:val="swiss"/>
    <w:pitch w:val="variable"/>
    <w:sig w:usb0="E4002EFF" w:usb1="C000E47F"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Apud-Roman">
    <w:altName w:val="Yu Gothic"/>
    <w:panose1 w:val="00000000000000000000"/>
    <w:charset w:val="80"/>
    <w:family w:val="roman"/>
    <w:notTrueType/>
    <w:pitch w:val="default"/>
    <w:sig w:usb0="00000001" w:usb1="08070000" w:usb2="00000010" w:usb3="00000000" w:csb0="00020000" w:csb1="00000000"/>
  </w:font>
  <w:font w:name="Apud-BoldItalic">
    <w:altName w:val="Cambria"/>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31603" w14:textId="77777777" w:rsidR="00D4013B" w:rsidRPr="008F0B7B" w:rsidRDefault="00D4013B" w:rsidP="00D4013B">
    <w:pPr>
      <w:pStyle w:val="HeaderFooterSensitivityLabelSpace"/>
    </w:pPr>
  </w:p>
  <w:p w14:paraId="79B01F05" w14:textId="0FFC2AC7" w:rsidR="004F4880" w:rsidRPr="00D4013B" w:rsidRDefault="00000000" w:rsidP="00D4013B">
    <w:pPr>
      <w:pStyle w:val="Footer"/>
    </w:pPr>
    <w:sdt>
      <w:sdtPr>
        <w:alias w:val="Title"/>
        <w:tag w:val="Title"/>
        <w:id w:val="2051493335"/>
        <w:placeholder>
          <w:docPart w:val="26F77956A64348EC87BAD44CCCB508EE"/>
        </w:placeholder>
        <w:dataBinding w:prefixMappings="xmlns:ns0='http://purl.org/dc/elements/1.1/' xmlns:ns1='http://schemas.openxmlformats.org/package/2006/metadata/core-properties' " w:xpath="/ns1:coreProperties[1]/ns0:title[1]" w:storeItemID="{6C3C8BC8-F283-45AE-878A-BAB7291924A1}"/>
        <w:text/>
      </w:sdtPr>
      <w:sdtContent>
        <w:r w:rsidR="005D32DA">
          <w:t>Fact sheet #3: Evidence summary</w:t>
        </w:r>
      </w:sdtContent>
    </w:sdt>
    <w:r w:rsidR="00D4013B">
      <w:ptab w:relativeTo="margin" w:alignment="right" w:leader="none"/>
    </w:r>
    <w:r w:rsidR="00D4013B" w:rsidRPr="0004413C">
      <w:fldChar w:fldCharType="begin"/>
    </w:r>
    <w:r w:rsidR="00D4013B" w:rsidRPr="0004413C">
      <w:instrText xml:space="preserve"> PAGE   \* MERGEFORMAT </w:instrText>
    </w:r>
    <w:r w:rsidR="00D4013B" w:rsidRPr="0004413C">
      <w:fldChar w:fldCharType="separate"/>
    </w:r>
    <w:r w:rsidR="00D4013B">
      <w:t>1</w:t>
    </w:r>
    <w:r w:rsidR="00D4013B" w:rsidRPr="0004413C">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D1EA4" w14:textId="77777777" w:rsidR="00576A0F" w:rsidRPr="008F0B7B" w:rsidRDefault="00576A0F" w:rsidP="00576A0F">
    <w:pPr>
      <w:pStyle w:val="HeaderFooterSensitivityLabelSpace"/>
    </w:pPr>
  </w:p>
  <w:p w14:paraId="0C8D5E0F" w14:textId="57A17F01" w:rsidR="00576A0F" w:rsidRPr="00576A0F" w:rsidRDefault="00000000" w:rsidP="00576A0F">
    <w:pPr>
      <w:pStyle w:val="Footer"/>
    </w:pPr>
    <w:sdt>
      <w:sdtPr>
        <w:alias w:val="Title"/>
        <w:tag w:val="Title"/>
        <w:id w:val="1072152929"/>
        <w:placeholder>
          <w:docPart w:val="2E7C5EFF51534A18B57122D7DA06CE3C"/>
        </w:placeholder>
        <w:dataBinding w:prefixMappings="xmlns:ns0='http://purl.org/dc/elements/1.1/' xmlns:ns1='http://schemas.openxmlformats.org/package/2006/metadata/core-properties' " w:xpath="/ns1:coreProperties[1]/ns0:title[1]" w:storeItemID="{6C3C8BC8-F283-45AE-878A-BAB7291924A1}"/>
        <w:text/>
      </w:sdtPr>
      <w:sdtContent>
        <w:r w:rsidR="005D32DA">
          <w:t>Fact sheet #3: Evidence summary</w:t>
        </w:r>
      </w:sdtContent>
    </w:sdt>
    <w:r w:rsidR="00697E8A">
      <w:t xml:space="preserve"> </w:t>
    </w:r>
    <w:r w:rsidR="00576A0F">
      <w:ptab w:relativeTo="margin" w:alignment="right" w:leader="none"/>
    </w:r>
    <w:r w:rsidR="00576A0F" w:rsidRPr="0004413C">
      <w:fldChar w:fldCharType="begin"/>
    </w:r>
    <w:r w:rsidR="00576A0F" w:rsidRPr="0004413C">
      <w:instrText xml:space="preserve"> PAGE   \* MERGEFORMAT </w:instrText>
    </w:r>
    <w:r w:rsidR="00576A0F" w:rsidRPr="0004413C">
      <w:fldChar w:fldCharType="separate"/>
    </w:r>
    <w:r w:rsidR="00576A0F">
      <w:t>2</w:t>
    </w:r>
    <w:r w:rsidR="00576A0F" w:rsidRPr="0004413C">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938579" w14:textId="77777777" w:rsidR="005C4B3E" w:rsidRDefault="005C4B3E" w:rsidP="008F0B7B">
      <w:pPr>
        <w:pStyle w:val="BodyText"/>
      </w:pPr>
      <w:r>
        <w:separator/>
      </w:r>
    </w:p>
  </w:footnote>
  <w:footnote w:type="continuationSeparator" w:id="0">
    <w:p w14:paraId="43342E74" w14:textId="77777777" w:rsidR="005C4B3E" w:rsidRPr="00D27532" w:rsidRDefault="005C4B3E" w:rsidP="00D27532">
      <w:pPr>
        <w:pStyle w:val="BodyText"/>
      </w:pPr>
      <w:r>
        <w:separator/>
      </w:r>
    </w:p>
  </w:footnote>
  <w:footnote w:type="continuationNotice" w:id="1">
    <w:p w14:paraId="0B8816C2" w14:textId="77777777" w:rsidR="005C4B3E" w:rsidRPr="00D27532" w:rsidRDefault="005C4B3E" w:rsidP="00D27532">
      <w:pPr>
        <w:pStyle w:val="BodyText"/>
      </w:pPr>
      <w:r>
        <w: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4B3D0" w14:textId="77777777" w:rsidR="00576A0F" w:rsidRPr="00576A0F" w:rsidRDefault="00576A0F" w:rsidP="00576A0F">
    <w:pPr>
      <w:pStyle w:val="Header"/>
    </w:pPr>
    <w:r>
      <w:rPr>
        <w:noProof/>
      </w:rPr>
      <mc:AlternateContent>
        <mc:Choice Requires="wps">
          <w:drawing>
            <wp:anchor distT="71755" distB="71755" distL="114300" distR="114300" simplePos="0" relativeHeight="251658240" behindDoc="1" locked="0" layoutInCell="1" allowOverlap="1" wp14:anchorId="17A0F17C" wp14:editId="145CEC74">
              <wp:simplePos x="0" y="0"/>
              <wp:positionH relativeFrom="page">
                <wp:align>right</wp:align>
              </wp:positionH>
              <wp:positionV relativeFrom="page">
                <wp:posOffset>1476375</wp:posOffset>
              </wp:positionV>
              <wp:extent cx="7560000" cy="144000"/>
              <wp:effectExtent l="0" t="0" r="0" b="0"/>
              <wp:wrapTopAndBottom/>
              <wp:docPr id="1"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1440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EA8D97" id="Rectangle 1" o:spid="_x0000_s1026" alt="&quot;&quot;" style="position:absolute;margin-left:544.1pt;margin-top:116.25pt;width:595.3pt;height:11.35pt;z-index:-251658240;visibility:visible;mso-wrap-style:square;mso-width-percent:0;mso-height-percent:0;mso-wrap-distance-left:9pt;mso-wrap-distance-top:5.65pt;mso-wrap-distance-right:9pt;mso-wrap-distance-bottom:5.65pt;mso-position-horizontal:right;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" filled="f" stroked="f" strokeweight="1pt">
              <w10:wrap type="topAndBottom"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F2A78"/>
    <w:multiLevelType w:val="hybridMultilevel"/>
    <w:tmpl w:val="F27CFFE2"/>
    <w:lvl w:ilvl="0" w:tplc="A64C29F4">
      <w:start w:val="1"/>
      <w:numFmt w:val="decimal"/>
      <w:pStyle w:val="Number"/>
      <w:lvlText w:val="%1."/>
      <w:lvlJc w:val="left"/>
      <w:pPr>
        <w:ind w:left="360" w:hanging="360"/>
      </w:pPr>
      <w:rPr>
        <w:rFonts w:hint="default"/>
        <w:b w:val="0"/>
        <w:i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1123123"/>
    <w:multiLevelType w:val="hybridMultilevel"/>
    <w:tmpl w:val="285A4DEE"/>
    <w:lvl w:ilvl="0" w:tplc="1FF2FBB0">
      <w:start w:val="1"/>
      <w:numFmt w:val="bullet"/>
      <w:lvlText w:val=""/>
      <w:lvlJc w:val="left"/>
      <w:pPr>
        <w:ind w:left="720" w:hanging="360"/>
      </w:pPr>
      <w:rPr>
        <w:rFonts w:ascii="Symbol" w:hAnsi="Symbol"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2EE13BC"/>
    <w:multiLevelType w:val="hybridMultilevel"/>
    <w:tmpl w:val="21EA74B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05007B8F"/>
    <w:multiLevelType w:val="multilevel"/>
    <w:tmpl w:val="D3261AAA"/>
    <w:styleLink w:val="TableexpListnumberedmultilevel"/>
    <w:lvl w:ilvl="0">
      <w:start w:val="1"/>
      <w:numFmt w:val="bullet"/>
      <w:pStyle w:val="intoductionbullet"/>
      <w:lvlText w:val=""/>
      <w:lvlJc w:val="left"/>
      <w:pPr>
        <w:ind w:left="357" w:hanging="357"/>
      </w:pPr>
      <w:rPr>
        <w:rFonts w:ascii="Symbol" w:hAnsi="Symbol" w:hint="default"/>
        <w:color w:val="002664" w:themeColor="background2"/>
      </w:rPr>
    </w:lvl>
    <w:lvl w:ilvl="1">
      <w:start w:val="1"/>
      <w:numFmt w:val="bullet"/>
      <w:lvlText w:val=""/>
      <w:lvlJc w:val="left"/>
      <w:pPr>
        <w:ind w:left="720" w:hanging="363"/>
      </w:pPr>
      <w:rPr>
        <w:rFonts w:ascii="Symbol" w:hAnsi="Symbol" w:hint="default"/>
        <w:color w:val="002664" w:themeColor="background2"/>
      </w:rPr>
    </w:lvl>
    <w:lvl w:ilvl="2">
      <w:start w:val="1"/>
      <w:numFmt w:val="bullet"/>
      <w:lvlText w:val=""/>
      <w:lvlJc w:val="left"/>
      <w:pPr>
        <w:ind w:left="1077" w:hanging="357"/>
      </w:pPr>
      <w:rPr>
        <w:rFonts w:ascii="Symbol" w:hAnsi="Symbol" w:hint="default"/>
        <w:color w:val="002664" w:themeColor="background2"/>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06EC3FED"/>
    <w:multiLevelType w:val="hybridMultilevel"/>
    <w:tmpl w:val="F482AC5A"/>
    <w:lvl w:ilvl="0" w:tplc="B71E6C0A">
      <w:start w:val="1"/>
      <w:numFmt w:val="bullet"/>
      <w:pStyle w:val="Bullet1"/>
      <w:lvlText w:val=""/>
      <w:lvlJc w:val="left"/>
      <w:pPr>
        <w:tabs>
          <w:tab w:val="num" w:pos="426"/>
        </w:tabs>
        <w:ind w:left="426" w:hanging="284"/>
      </w:pPr>
      <w:rPr>
        <w:rFonts w:ascii="Symbol" w:hAnsi="Symbol" w:hint="default"/>
        <w:color w:val="auto"/>
        <w:sz w:val="20"/>
      </w:rPr>
    </w:lvl>
    <w:lvl w:ilvl="1" w:tplc="04090003">
      <w:start w:val="1"/>
      <w:numFmt w:val="bullet"/>
      <w:lvlText w:val="o"/>
      <w:lvlJc w:val="left"/>
      <w:pPr>
        <w:ind w:left="1069" w:hanging="360"/>
      </w:pPr>
      <w:rPr>
        <w:rFonts w:ascii="Courier New" w:hAnsi="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5" w15:restartNumberingAfterBreak="0">
    <w:nsid w:val="0BF150E5"/>
    <w:multiLevelType w:val="hybridMultilevel"/>
    <w:tmpl w:val="7B5C14B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CD462BA"/>
    <w:multiLevelType w:val="hybridMultilevel"/>
    <w:tmpl w:val="73341DD4"/>
    <w:lvl w:ilvl="0" w:tplc="FFFFFFFF">
      <w:start w:val="1"/>
      <w:numFmt w:val="bullet"/>
      <w:lvlText w:val="o"/>
      <w:lvlJc w:val="left"/>
      <w:pPr>
        <w:ind w:left="770" w:hanging="360"/>
      </w:pPr>
      <w:rPr>
        <w:rFonts w:ascii="Courier New" w:hAnsi="Courier New" w:cs="Courier New" w:hint="default"/>
      </w:rPr>
    </w:lvl>
    <w:lvl w:ilvl="1" w:tplc="FFFFFFFF" w:tentative="1">
      <w:start w:val="1"/>
      <w:numFmt w:val="bullet"/>
      <w:lvlText w:val="o"/>
      <w:lvlJc w:val="left"/>
      <w:pPr>
        <w:ind w:left="1490" w:hanging="360"/>
      </w:pPr>
      <w:rPr>
        <w:rFonts w:ascii="Courier New" w:hAnsi="Courier New" w:cs="Courier New" w:hint="default"/>
      </w:rPr>
    </w:lvl>
    <w:lvl w:ilvl="2" w:tplc="FFFFFFFF" w:tentative="1">
      <w:start w:val="1"/>
      <w:numFmt w:val="bullet"/>
      <w:lvlText w:val=""/>
      <w:lvlJc w:val="left"/>
      <w:pPr>
        <w:ind w:left="2210" w:hanging="360"/>
      </w:pPr>
      <w:rPr>
        <w:rFonts w:ascii="Wingdings" w:hAnsi="Wingdings" w:hint="default"/>
      </w:rPr>
    </w:lvl>
    <w:lvl w:ilvl="3" w:tplc="FFFFFFFF" w:tentative="1">
      <w:start w:val="1"/>
      <w:numFmt w:val="bullet"/>
      <w:lvlText w:val=""/>
      <w:lvlJc w:val="left"/>
      <w:pPr>
        <w:ind w:left="2930" w:hanging="360"/>
      </w:pPr>
      <w:rPr>
        <w:rFonts w:ascii="Symbol" w:hAnsi="Symbol" w:hint="default"/>
      </w:rPr>
    </w:lvl>
    <w:lvl w:ilvl="4" w:tplc="FFFFFFFF" w:tentative="1">
      <w:start w:val="1"/>
      <w:numFmt w:val="bullet"/>
      <w:lvlText w:val="o"/>
      <w:lvlJc w:val="left"/>
      <w:pPr>
        <w:ind w:left="3650" w:hanging="360"/>
      </w:pPr>
      <w:rPr>
        <w:rFonts w:ascii="Courier New" w:hAnsi="Courier New" w:cs="Courier New" w:hint="default"/>
      </w:rPr>
    </w:lvl>
    <w:lvl w:ilvl="5" w:tplc="FFFFFFFF" w:tentative="1">
      <w:start w:val="1"/>
      <w:numFmt w:val="bullet"/>
      <w:lvlText w:val=""/>
      <w:lvlJc w:val="left"/>
      <w:pPr>
        <w:ind w:left="4370" w:hanging="360"/>
      </w:pPr>
      <w:rPr>
        <w:rFonts w:ascii="Wingdings" w:hAnsi="Wingdings" w:hint="default"/>
      </w:rPr>
    </w:lvl>
    <w:lvl w:ilvl="6" w:tplc="FFFFFFFF" w:tentative="1">
      <w:start w:val="1"/>
      <w:numFmt w:val="bullet"/>
      <w:lvlText w:val=""/>
      <w:lvlJc w:val="left"/>
      <w:pPr>
        <w:ind w:left="5090" w:hanging="360"/>
      </w:pPr>
      <w:rPr>
        <w:rFonts w:ascii="Symbol" w:hAnsi="Symbol" w:hint="default"/>
      </w:rPr>
    </w:lvl>
    <w:lvl w:ilvl="7" w:tplc="FFFFFFFF" w:tentative="1">
      <w:start w:val="1"/>
      <w:numFmt w:val="bullet"/>
      <w:lvlText w:val="o"/>
      <w:lvlJc w:val="left"/>
      <w:pPr>
        <w:ind w:left="5810" w:hanging="360"/>
      </w:pPr>
      <w:rPr>
        <w:rFonts w:ascii="Courier New" w:hAnsi="Courier New" w:cs="Courier New" w:hint="default"/>
      </w:rPr>
    </w:lvl>
    <w:lvl w:ilvl="8" w:tplc="FFFFFFFF" w:tentative="1">
      <w:start w:val="1"/>
      <w:numFmt w:val="bullet"/>
      <w:lvlText w:val=""/>
      <w:lvlJc w:val="left"/>
      <w:pPr>
        <w:ind w:left="6530" w:hanging="360"/>
      </w:pPr>
      <w:rPr>
        <w:rFonts w:ascii="Wingdings" w:hAnsi="Wingdings" w:hint="default"/>
      </w:rPr>
    </w:lvl>
  </w:abstractNum>
  <w:abstractNum w:abstractNumId="7" w15:restartNumberingAfterBreak="0">
    <w:nsid w:val="0CD62A7E"/>
    <w:multiLevelType w:val="hybridMultilevel"/>
    <w:tmpl w:val="1FE4E9BC"/>
    <w:lvl w:ilvl="0" w:tplc="21A8A8F4">
      <w:start w:val="1"/>
      <w:numFmt w:val="bullet"/>
      <w:pStyle w:val="BulletsLevel4"/>
      <w:lvlText w:val=""/>
      <w:lvlJc w:val="left"/>
      <w:pPr>
        <w:ind w:left="1551" w:hanging="360"/>
      </w:pPr>
      <w:rPr>
        <w:rFonts w:ascii="Wingdings 2" w:hAnsi="Wingdings 2" w:hint="default"/>
      </w:rPr>
    </w:lvl>
    <w:lvl w:ilvl="1" w:tplc="0C090003" w:tentative="1">
      <w:start w:val="1"/>
      <w:numFmt w:val="bullet"/>
      <w:lvlText w:val="o"/>
      <w:lvlJc w:val="left"/>
      <w:pPr>
        <w:ind w:left="4754" w:hanging="360"/>
      </w:pPr>
      <w:rPr>
        <w:rFonts w:ascii="Courier New" w:hAnsi="Courier New" w:cs="Courier New" w:hint="default"/>
      </w:rPr>
    </w:lvl>
    <w:lvl w:ilvl="2" w:tplc="0C090005" w:tentative="1">
      <w:start w:val="1"/>
      <w:numFmt w:val="bullet"/>
      <w:lvlText w:val=""/>
      <w:lvlJc w:val="left"/>
      <w:pPr>
        <w:ind w:left="5474" w:hanging="360"/>
      </w:pPr>
      <w:rPr>
        <w:rFonts w:ascii="Wingdings" w:hAnsi="Wingdings" w:hint="default"/>
      </w:rPr>
    </w:lvl>
    <w:lvl w:ilvl="3" w:tplc="0C090001" w:tentative="1">
      <w:start w:val="1"/>
      <w:numFmt w:val="bullet"/>
      <w:lvlText w:val=""/>
      <w:lvlJc w:val="left"/>
      <w:pPr>
        <w:ind w:left="6194" w:hanging="360"/>
      </w:pPr>
      <w:rPr>
        <w:rFonts w:ascii="Symbol" w:hAnsi="Symbol" w:hint="default"/>
      </w:rPr>
    </w:lvl>
    <w:lvl w:ilvl="4" w:tplc="0C090003" w:tentative="1">
      <w:start w:val="1"/>
      <w:numFmt w:val="bullet"/>
      <w:lvlText w:val="o"/>
      <w:lvlJc w:val="left"/>
      <w:pPr>
        <w:ind w:left="6914" w:hanging="360"/>
      </w:pPr>
      <w:rPr>
        <w:rFonts w:ascii="Courier New" w:hAnsi="Courier New" w:cs="Courier New" w:hint="default"/>
      </w:rPr>
    </w:lvl>
    <w:lvl w:ilvl="5" w:tplc="0C090005" w:tentative="1">
      <w:start w:val="1"/>
      <w:numFmt w:val="bullet"/>
      <w:lvlText w:val=""/>
      <w:lvlJc w:val="left"/>
      <w:pPr>
        <w:ind w:left="7634" w:hanging="360"/>
      </w:pPr>
      <w:rPr>
        <w:rFonts w:ascii="Wingdings" w:hAnsi="Wingdings" w:hint="default"/>
      </w:rPr>
    </w:lvl>
    <w:lvl w:ilvl="6" w:tplc="0C090001" w:tentative="1">
      <w:start w:val="1"/>
      <w:numFmt w:val="bullet"/>
      <w:lvlText w:val=""/>
      <w:lvlJc w:val="left"/>
      <w:pPr>
        <w:ind w:left="8354" w:hanging="360"/>
      </w:pPr>
      <w:rPr>
        <w:rFonts w:ascii="Symbol" w:hAnsi="Symbol" w:hint="default"/>
      </w:rPr>
    </w:lvl>
    <w:lvl w:ilvl="7" w:tplc="0C090003" w:tentative="1">
      <w:start w:val="1"/>
      <w:numFmt w:val="bullet"/>
      <w:lvlText w:val="o"/>
      <w:lvlJc w:val="left"/>
      <w:pPr>
        <w:ind w:left="9074" w:hanging="360"/>
      </w:pPr>
      <w:rPr>
        <w:rFonts w:ascii="Courier New" w:hAnsi="Courier New" w:cs="Courier New" w:hint="default"/>
      </w:rPr>
    </w:lvl>
    <w:lvl w:ilvl="8" w:tplc="0C090005" w:tentative="1">
      <w:start w:val="1"/>
      <w:numFmt w:val="bullet"/>
      <w:lvlText w:val=""/>
      <w:lvlJc w:val="left"/>
      <w:pPr>
        <w:ind w:left="9794" w:hanging="360"/>
      </w:pPr>
      <w:rPr>
        <w:rFonts w:ascii="Wingdings" w:hAnsi="Wingdings" w:hint="default"/>
      </w:rPr>
    </w:lvl>
  </w:abstractNum>
  <w:abstractNum w:abstractNumId="8" w15:restartNumberingAfterBreak="0">
    <w:nsid w:val="0D145A9B"/>
    <w:multiLevelType w:val="hybridMultilevel"/>
    <w:tmpl w:val="AD88B3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0E2EF9"/>
    <w:multiLevelType w:val="hybridMultilevel"/>
    <w:tmpl w:val="A132758A"/>
    <w:lvl w:ilvl="0" w:tplc="D408B966">
      <w:start w:val="1"/>
      <w:numFmt w:val="bullet"/>
      <w:pStyle w:val="TableExp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11" w15:restartNumberingAfterBreak="0">
    <w:nsid w:val="17D6108F"/>
    <w:multiLevelType w:val="hybridMultilevel"/>
    <w:tmpl w:val="486E03DA"/>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8E1233F"/>
    <w:multiLevelType w:val="hybridMultilevel"/>
    <w:tmpl w:val="65E6A77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192C612D"/>
    <w:multiLevelType w:val="hybridMultilevel"/>
    <w:tmpl w:val="8384D0FA"/>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BD73A11"/>
    <w:multiLevelType w:val="hybridMultilevel"/>
    <w:tmpl w:val="A48C3FD6"/>
    <w:lvl w:ilvl="0" w:tplc="4BA8DF24">
      <w:start w:val="1"/>
      <w:numFmt w:val="bullet"/>
      <w:pStyle w:val="Bullet"/>
      <w:lvlText w:val=""/>
      <w:lvlJc w:val="left"/>
      <w:pPr>
        <w:tabs>
          <w:tab w:val="num" w:pos="360"/>
        </w:tabs>
        <w:ind w:left="247" w:firstLine="113"/>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17" w15:restartNumberingAfterBreak="0">
    <w:nsid w:val="20AA46C7"/>
    <w:multiLevelType w:val="hybridMultilevel"/>
    <w:tmpl w:val="0A4A345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11C7353"/>
    <w:multiLevelType w:val="hybridMultilevel"/>
    <w:tmpl w:val="B6AED27C"/>
    <w:lvl w:ilvl="0" w:tplc="FFFFFFFF">
      <w:start w:val="1"/>
      <w:numFmt w:val="bullet"/>
      <w:lvlText w:val="o"/>
      <w:lvlJc w:val="left"/>
      <w:pPr>
        <w:ind w:left="770" w:hanging="360"/>
      </w:pPr>
      <w:rPr>
        <w:rFonts w:ascii="Courier New" w:hAnsi="Courier New" w:cs="Courier New" w:hint="default"/>
      </w:rPr>
    </w:lvl>
    <w:lvl w:ilvl="1" w:tplc="FFFFFFFF" w:tentative="1">
      <w:start w:val="1"/>
      <w:numFmt w:val="bullet"/>
      <w:lvlText w:val="o"/>
      <w:lvlJc w:val="left"/>
      <w:pPr>
        <w:ind w:left="1490" w:hanging="360"/>
      </w:pPr>
      <w:rPr>
        <w:rFonts w:ascii="Courier New" w:hAnsi="Courier New" w:cs="Courier New" w:hint="default"/>
      </w:rPr>
    </w:lvl>
    <w:lvl w:ilvl="2" w:tplc="FFFFFFFF" w:tentative="1">
      <w:start w:val="1"/>
      <w:numFmt w:val="bullet"/>
      <w:lvlText w:val=""/>
      <w:lvlJc w:val="left"/>
      <w:pPr>
        <w:ind w:left="2210" w:hanging="360"/>
      </w:pPr>
      <w:rPr>
        <w:rFonts w:ascii="Wingdings" w:hAnsi="Wingdings" w:hint="default"/>
      </w:rPr>
    </w:lvl>
    <w:lvl w:ilvl="3" w:tplc="FFFFFFFF" w:tentative="1">
      <w:start w:val="1"/>
      <w:numFmt w:val="bullet"/>
      <w:lvlText w:val=""/>
      <w:lvlJc w:val="left"/>
      <w:pPr>
        <w:ind w:left="2930" w:hanging="360"/>
      </w:pPr>
      <w:rPr>
        <w:rFonts w:ascii="Symbol" w:hAnsi="Symbol" w:hint="default"/>
      </w:rPr>
    </w:lvl>
    <w:lvl w:ilvl="4" w:tplc="FFFFFFFF" w:tentative="1">
      <w:start w:val="1"/>
      <w:numFmt w:val="bullet"/>
      <w:lvlText w:val="o"/>
      <w:lvlJc w:val="left"/>
      <w:pPr>
        <w:ind w:left="3650" w:hanging="360"/>
      </w:pPr>
      <w:rPr>
        <w:rFonts w:ascii="Courier New" w:hAnsi="Courier New" w:cs="Courier New" w:hint="default"/>
      </w:rPr>
    </w:lvl>
    <w:lvl w:ilvl="5" w:tplc="FFFFFFFF" w:tentative="1">
      <w:start w:val="1"/>
      <w:numFmt w:val="bullet"/>
      <w:lvlText w:val=""/>
      <w:lvlJc w:val="left"/>
      <w:pPr>
        <w:ind w:left="4370" w:hanging="360"/>
      </w:pPr>
      <w:rPr>
        <w:rFonts w:ascii="Wingdings" w:hAnsi="Wingdings" w:hint="default"/>
      </w:rPr>
    </w:lvl>
    <w:lvl w:ilvl="6" w:tplc="FFFFFFFF" w:tentative="1">
      <w:start w:val="1"/>
      <w:numFmt w:val="bullet"/>
      <w:lvlText w:val=""/>
      <w:lvlJc w:val="left"/>
      <w:pPr>
        <w:ind w:left="5090" w:hanging="360"/>
      </w:pPr>
      <w:rPr>
        <w:rFonts w:ascii="Symbol" w:hAnsi="Symbol" w:hint="default"/>
      </w:rPr>
    </w:lvl>
    <w:lvl w:ilvl="7" w:tplc="FFFFFFFF" w:tentative="1">
      <w:start w:val="1"/>
      <w:numFmt w:val="bullet"/>
      <w:lvlText w:val="o"/>
      <w:lvlJc w:val="left"/>
      <w:pPr>
        <w:ind w:left="5810" w:hanging="360"/>
      </w:pPr>
      <w:rPr>
        <w:rFonts w:ascii="Courier New" w:hAnsi="Courier New" w:cs="Courier New" w:hint="default"/>
      </w:rPr>
    </w:lvl>
    <w:lvl w:ilvl="8" w:tplc="FFFFFFFF" w:tentative="1">
      <w:start w:val="1"/>
      <w:numFmt w:val="bullet"/>
      <w:lvlText w:val=""/>
      <w:lvlJc w:val="left"/>
      <w:pPr>
        <w:ind w:left="6530" w:hanging="360"/>
      </w:pPr>
      <w:rPr>
        <w:rFonts w:ascii="Wingdings" w:hAnsi="Wingdings" w:hint="default"/>
      </w:rPr>
    </w:lvl>
  </w:abstractNum>
  <w:abstractNum w:abstractNumId="19" w15:restartNumberingAfterBreak="0">
    <w:nsid w:val="256B3DF8"/>
    <w:multiLevelType w:val="hybridMultilevel"/>
    <w:tmpl w:val="384058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5B8441F"/>
    <w:multiLevelType w:val="hybridMultilevel"/>
    <w:tmpl w:val="26341186"/>
    <w:lvl w:ilvl="0" w:tplc="DC7C0BD6">
      <w:start w:val="1"/>
      <w:numFmt w:val="decimal"/>
      <w:pStyle w:val="ListNumber1"/>
      <w:lvlText w:val="%1."/>
      <w:lvlJc w:val="left"/>
      <w:pPr>
        <w:tabs>
          <w:tab w:val="num" w:pos="369"/>
        </w:tabs>
        <w:ind w:left="369" w:hanging="369"/>
      </w:pPr>
      <w:rPr>
        <w:rFonts w:ascii="Arial" w:hAnsi="Arial" w:hint="default"/>
        <w:b/>
        <w:bCs/>
        <w:i w:val="0"/>
        <w:iCs w:val="0"/>
        <w:color w:val="00A1DE"/>
        <w:sz w:val="18"/>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26CA5F6C"/>
    <w:multiLevelType w:val="hybridMultilevel"/>
    <w:tmpl w:val="16921E0C"/>
    <w:lvl w:ilvl="0" w:tplc="0C090001">
      <w:start w:val="1"/>
      <w:numFmt w:val="bullet"/>
      <w:lvlText w:val=""/>
      <w:lvlJc w:val="left"/>
      <w:pPr>
        <w:ind w:left="717" w:hanging="360"/>
      </w:pPr>
      <w:rPr>
        <w:rFonts w:ascii="Symbol" w:hAnsi="Symbol"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22" w15:restartNumberingAfterBreak="0">
    <w:nsid w:val="2F4D69A8"/>
    <w:multiLevelType w:val="hybridMultilevel"/>
    <w:tmpl w:val="65A252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3FC0542"/>
    <w:multiLevelType w:val="hybridMultilevel"/>
    <w:tmpl w:val="D6121FE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25" w15:restartNumberingAfterBreak="0">
    <w:nsid w:val="364C3D82"/>
    <w:multiLevelType w:val="hybridMultilevel"/>
    <w:tmpl w:val="BF84AE10"/>
    <w:lvl w:ilvl="0" w:tplc="0C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0" w:hanging="360"/>
      </w:pPr>
      <w:rPr>
        <w:rFonts w:ascii="Courier New" w:hAnsi="Courier New" w:cs="Courier New" w:hint="default"/>
      </w:rPr>
    </w:lvl>
    <w:lvl w:ilvl="2" w:tplc="FFFFFFFF" w:tentative="1">
      <w:start w:val="1"/>
      <w:numFmt w:val="bullet"/>
      <w:lvlText w:val=""/>
      <w:lvlJc w:val="left"/>
      <w:pPr>
        <w:ind w:left="720" w:hanging="360"/>
      </w:pPr>
      <w:rPr>
        <w:rFonts w:ascii="Wingdings" w:hAnsi="Wingdings" w:hint="default"/>
      </w:rPr>
    </w:lvl>
    <w:lvl w:ilvl="3" w:tplc="FFFFFFFF" w:tentative="1">
      <w:start w:val="1"/>
      <w:numFmt w:val="bullet"/>
      <w:lvlText w:val=""/>
      <w:lvlJc w:val="left"/>
      <w:pPr>
        <w:ind w:left="1440" w:hanging="360"/>
      </w:pPr>
      <w:rPr>
        <w:rFonts w:ascii="Symbol" w:hAnsi="Symbol" w:hint="default"/>
      </w:rPr>
    </w:lvl>
    <w:lvl w:ilvl="4" w:tplc="FFFFFFFF" w:tentative="1">
      <w:start w:val="1"/>
      <w:numFmt w:val="bullet"/>
      <w:lvlText w:val="o"/>
      <w:lvlJc w:val="left"/>
      <w:pPr>
        <w:ind w:left="2160" w:hanging="360"/>
      </w:pPr>
      <w:rPr>
        <w:rFonts w:ascii="Courier New" w:hAnsi="Courier New" w:cs="Courier New" w:hint="default"/>
      </w:rPr>
    </w:lvl>
    <w:lvl w:ilvl="5" w:tplc="FFFFFFFF" w:tentative="1">
      <w:start w:val="1"/>
      <w:numFmt w:val="bullet"/>
      <w:lvlText w:val=""/>
      <w:lvlJc w:val="left"/>
      <w:pPr>
        <w:ind w:left="2880" w:hanging="360"/>
      </w:pPr>
      <w:rPr>
        <w:rFonts w:ascii="Wingdings" w:hAnsi="Wingdings" w:hint="default"/>
      </w:rPr>
    </w:lvl>
    <w:lvl w:ilvl="6" w:tplc="FFFFFFFF" w:tentative="1">
      <w:start w:val="1"/>
      <w:numFmt w:val="bullet"/>
      <w:lvlText w:val=""/>
      <w:lvlJc w:val="left"/>
      <w:pPr>
        <w:ind w:left="3600" w:hanging="360"/>
      </w:pPr>
      <w:rPr>
        <w:rFonts w:ascii="Symbol" w:hAnsi="Symbol" w:hint="default"/>
      </w:rPr>
    </w:lvl>
    <w:lvl w:ilvl="7" w:tplc="FFFFFFFF" w:tentative="1">
      <w:start w:val="1"/>
      <w:numFmt w:val="bullet"/>
      <w:lvlText w:val="o"/>
      <w:lvlJc w:val="left"/>
      <w:pPr>
        <w:ind w:left="4320" w:hanging="360"/>
      </w:pPr>
      <w:rPr>
        <w:rFonts w:ascii="Courier New" w:hAnsi="Courier New" w:cs="Courier New" w:hint="default"/>
      </w:rPr>
    </w:lvl>
    <w:lvl w:ilvl="8" w:tplc="FFFFFFFF" w:tentative="1">
      <w:start w:val="1"/>
      <w:numFmt w:val="bullet"/>
      <w:lvlText w:val=""/>
      <w:lvlJc w:val="left"/>
      <w:pPr>
        <w:ind w:left="5040" w:hanging="360"/>
      </w:pPr>
      <w:rPr>
        <w:rFonts w:ascii="Wingdings" w:hAnsi="Wingdings" w:hint="default"/>
      </w:rPr>
    </w:lvl>
  </w:abstractNum>
  <w:abstractNum w:abstractNumId="26" w15:restartNumberingAfterBreak="0">
    <w:nsid w:val="36D30360"/>
    <w:multiLevelType w:val="hybridMultilevel"/>
    <w:tmpl w:val="39C467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9D1413D"/>
    <w:multiLevelType w:val="multilevel"/>
    <w:tmpl w:val="202ED028"/>
    <w:lvl w:ilvl="0">
      <w:start w:val="1"/>
      <w:numFmt w:val="bullet"/>
      <w:pStyle w:val="TableNBullet"/>
      <w:lvlText w:val=""/>
      <w:lvlJc w:val="left"/>
      <w:pPr>
        <w:ind w:left="360" w:hanging="360"/>
      </w:pPr>
      <w:rPr>
        <w:rFonts w:ascii="Symbol" w:hAnsi="Symbol" w:hint="default"/>
      </w:rPr>
    </w:lvl>
    <w:lvl w:ilvl="1">
      <w:start w:val="1"/>
      <w:numFmt w:val="bullet"/>
      <w:lvlText w:val=""/>
      <w:lvlJc w:val="left"/>
      <w:pPr>
        <w:ind w:left="510" w:hanging="226"/>
      </w:pPr>
      <w:rPr>
        <w:rFonts w:ascii="Symbol" w:hAnsi="Symbol" w:hint="default"/>
        <w:color w:val="auto"/>
        <w:position w:val="4"/>
        <w:sz w:val="16"/>
      </w:rPr>
    </w:lvl>
    <w:lvl w:ilvl="2">
      <w:start w:val="1"/>
      <w:numFmt w:val="bullet"/>
      <w:lvlText w:val=""/>
      <w:lvlJc w:val="left"/>
      <w:pPr>
        <w:ind w:left="794" w:hanging="227"/>
      </w:pPr>
      <w:rPr>
        <w:rFonts w:ascii="Symbol" w:hAnsi="Symbol" w:hint="default"/>
        <w:color w:val="auto"/>
        <w:position w:val="4"/>
        <w:sz w:val="16"/>
      </w:rPr>
    </w:lvl>
    <w:lvl w:ilvl="3">
      <w:start w:val="1"/>
      <w:numFmt w:val="bullet"/>
      <w:lvlText w:val=""/>
      <w:lvlJc w:val="left"/>
      <w:pPr>
        <w:ind w:left="680" w:hanging="170"/>
      </w:pPr>
      <w:rPr>
        <w:rFonts w:ascii="Wingdings 2" w:hAnsi="Wingdings 2" w:hint="default"/>
        <w:color w:val="525D67" w:themeColor="text1" w:themeTint="BF"/>
        <w:position w:val="4"/>
        <w:sz w:val="10"/>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8" w15:restartNumberingAfterBreak="0">
    <w:nsid w:val="3C927654"/>
    <w:multiLevelType w:val="hybridMultilevel"/>
    <w:tmpl w:val="540A5C52"/>
    <w:lvl w:ilvl="0" w:tplc="FFFFFFFF">
      <w:start w:val="1"/>
      <w:numFmt w:val="bullet"/>
      <w:lvlText w:val="o"/>
      <w:lvlJc w:val="left"/>
      <w:pPr>
        <w:ind w:left="720" w:hanging="360"/>
      </w:pPr>
      <w:rPr>
        <w:rFonts w:ascii="Courier New" w:hAnsi="Courier New" w:cs="Courier New" w:hint="default"/>
        <w:b w:val="0"/>
        <w:i w:val="0"/>
        <w:strike w:val="0"/>
        <w:dstrike w:val="0"/>
        <w:color w:val="000000"/>
        <w:sz w:val="22"/>
        <w:szCs w:val="22"/>
        <w:u w:val="none" w:color="000000"/>
        <w:bdr w:val="none" w:sz="0" w:space="0" w:color="auto"/>
        <w:shd w:val="clear" w:color="auto" w:fill="auto"/>
        <w:vertAlign w:val="baseline"/>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3F6E1A4E"/>
    <w:multiLevelType w:val="hybridMultilevel"/>
    <w:tmpl w:val="55EEE47C"/>
    <w:lvl w:ilvl="0" w:tplc="0C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0" w15:restartNumberingAfterBreak="0">
    <w:nsid w:val="40454BC1"/>
    <w:multiLevelType w:val="hybridMultilevel"/>
    <w:tmpl w:val="D93426A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428C2FDF"/>
    <w:multiLevelType w:val="hybridMultilevel"/>
    <w:tmpl w:val="F79E27E0"/>
    <w:lvl w:ilvl="0" w:tplc="370EA3D8">
      <w:start w:val="1"/>
      <w:numFmt w:val="bullet"/>
      <w:pStyle w:val="longformcalloutbullet"/>
      <w:lvlText w:val=""/>
      <w:lvlJc w:val="left"/>
      <w:pPr>
        <w:ind w:left="720" w:hanging="360"/>
      </w:pPr>
      <w:rPr>
        <w:rFonts w:ascii="Symbol" w:hAnsi="Symbol" w:hint="default"/>
        <w:color w:val="002664" w:themeColor="background2"/>
        <w:sz w:val="1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54A66F1"/>
    <w:multiLevelType w:val="hybridMultilevel"/>
    <w:tmpl w:val="1F8C9522"/>
    <w:lvl w:ilvl="0" w:tplc="C92657D8">
      <w:start w:val="1"/>
      <w:numFmt w:val="bullet"/>
      <w:lvlText w:val=""/>
      <w:lvlJc w:val="left"/>
      <w:pPr>
        <w:ind w:left="360" w:hanging="360"/>
      </w:pPr>
      <w:rPr>
        <w:rFonts w:ascii="Symbol" w:hAnsi="Symbol" w:hint="default"/>
        <w:color w:val="auto"/>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465850AE"/>
    <w:multiLevelType w:val="hybridMultilevel"/>
    <w:tmpl w:val="3CA6065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46E17999"/>
    <w:multiLevelType w:val="hybridMultilevel"/>
    <w:tmpl w:val="74D6B6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5" w15:restartNumberingAfterBreak="0">
    <w:nsid w:val="4AB30710"/>
    <w:multiLevelType w:val="hybridMultilevel"/>
    <w:tmpl w:val="7DA0F9D0"/>
    <w:lvl w:ilvl="0" w:tplc="50924516">
      <w:start w:val="1"/>
      <w:numFmt w:val="decimal"/>
      <w:pStyle w:val="longformcalloutnumber"/>
      <w:lvlText w:val="%1."/>
      <w:lvlJc w:val="left"/>
      <w:pPr>
        <w:ind w:left="720" w:hanging="360"/>
      </w:pPr>
      <w:rPr>
        <w:rFonts w:hint="default"/>
        <w:b w:val="0"/>
        <w:color w:val="002664" w:themeColor="background2"/>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4B3D2157"/>
    <w:multiLevelType w:val="multilevel"/>
    <w:tmpl w:val="310876F2"/>
    <w:lvl w:ilvl="0">
      <w:start w:val="1"/>
      <w:numFmt w:val="decimal"/>
      <w:pStyle w:val="introductionlist"/>
      <w:lvlText w:val="%1."/>
      <w:lvlJc w:val="left"/>
      <w:pPr>
        <w:ind w:left="357" w:hanging="357"/>
      </w:pPr>
      <w:rPr>
        <w:rFonts w:hint="default"/>
        <w:b w:val="0"/>
      </w:rPr>
    </w:lvl>
    <w:lvl w:ilvl="1">
      <w:start w:val="1"/>
      <w:numFmt w:val="lowerLetter"/>
      <w:lvlText w:val="%2."/>
      <w:lvlJc w:val="left"/>
      <w:pPr>
        <w:ind w:left="720" w:hanging="363"/>
      </w:pPr>
      <w:rPr>
        <w:rFonts w:hint="default"/>
      </w:rPr>
    </w:lvl>
    <w:lvl w:ilvl="2">
      <w:start w:val="1"/>
      <w:numFmt w:val="lowerRoman"/>
      <w:lvlText w:val="%3."/>
      <w:lvlJc w:val="right"/>
      <w:pPr>
        <w:ind w:left="1077" w:hanging="357"/>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7" w15:restartNumberingAfterBreak="0">
    <w:nsid w:val="4D480D3D"/>
    <w:multiLevelType w:val="hybridMultilevel"/>
    <w:tmpl w:val="38F0DB6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4DBC6FAE"/>
    <w:multiLevelType w:val="hybridMultilevel"/>
    <w:tmpl w:val="5E78ADF0"/>
    <w:lvl w:ilvl="0" w:tplc="FFFFFFFF">
      <w:start w:val="1"/>
      <w:numFmt w:val="bullet"/>
      <w:lvlText w:val="o"/>
      <w:lvlJc w:val="left"/>
      <w:pPr>
        <w:ind w:left="1080" w:hanging="360"/>
      </w:pPr>
      <w:rPr>
        <w:rFonts w:ascii="Courier New" w:hAnsi="Courier New" w:cs="Courier New" w:hint="default"/>
        <w:b w:val="0"/>
        <w:i w:val="0"/>
        <w:strike w:val="0"/>
        <w:dstrike w:val="0"/>
        <w:color w:val="000000"/>
        <w:sz w:val="22"/>
        <w:szCs w:val="22"/>
        <w:u w:val="none" w:color="000000"/>
        <w:bdr w:val="none" w:sz="0" w:space="0" w:color="auto"/>
        <w:shd w:val="clear" w:color="auto" w:fill="auto"/>
        <w:vertAlign w:val="baseline"/>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9" w15:restartNumberingAfterBreak="0">
    <w:nsid w:val="4EA2547D"/>
    <w:multiLevelType w:val="hybridMultilevel"/>
    <w:tmpl w:val="A12A3722"/>
    <w:lvl w:ilvl="0" w:tplc="78781632">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505C1821"/>
    <w:multiLevelType w:val="hybridMultilevel"/>
    <w:tmpl w:val="A1C22A2A"/>
    <w:lvl w:ilvl="0" w:tplc="55BEC886">
      <w:start w:val="1"/>
      <w:numFmt w:val="bullet"/>
      <w:pStyle w:val="ListBullet"/>
      <w:lvlText w:val=""/>
      <w:lvlJc w:val="left"/>
      <w:pPr>
        <w:tabs>
          <w:tab w:val="num" w:pos="714"/>
        </w:tabs>
        <w:ind w:left="714" w:hanging="357"/>
      </w:pPr>
      <w:rPr>
        <w:rFonts w:ascii="Symbol" w:hAnsi="Symbol" w:hint="default"/>
        <w:color w:val="22272B" w:themeColor="text1"/>
        <w:sz w:val="20"/>
      </w:rPr>
    </w:lvl>
    <w:lvl w:ilvl="1" w:tplc="0C090003">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41" w15:restartNumberingAfterBreak="0">
    <w:nsid w:val="51D52BDF"/>
    <w:multiLevelType w:val="hybridMultilevel"/>
    <w:tmpl w:val="EF7E699C"/>
    <w:lvl w:ilvl="0" w:tplc="F04EA33C">
      <w:start w:val="1"/>
      <w:numFmt w:val="bullet"/>
      <w:lvlText w:val=""/>
      <w:lvlJc w:val="left"/>
      <w:pPr>
        <w:ind w:left="360" w:hanging="360"/>
      </w:pPr>
      <w:rPr>
        <w:rFonts w:ascii="Symbol" w:hAnsi="Symbol" w:hint="default"/>
        <w:color w:val="auto"/>
        <w:sz w:val="22"/>
        <w:szCs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2"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43" w15:restartNumberingAfterBreak="0">
    <w:nsid w:val="57883D19"/>
    <w:multiLevelType w:val="hybridMultilevel"/>
    <w:tmpl w:val="EFF8A94A"/>
    <w:lvl w:ilvl="0" w:tplc="E7D8E98E">
      <w:start w:val="1"/>
      <w:numFmt w:val="bullet"/>
      <w:pStyle w:val="Bullet2"/>
      <w:lvlText w:val="—"/>
      <w:lvlJc w:val="left"/>
      <w:pPr>
        <w:tabs>
          <w:tab w:val="num" w:pos="567"/>
        </w:tabs>
        <w:ind w:left="567" w:hanging="283"/>
      </w:pPr>
      <w:rPr>
        <w:rFonts w:ascii="Public Sans Light" w:hAnsi="Public Sans Light" w:cs="Times New Roman" w:hint="default"/>
        <w:b w:val="0"/>
        <w:i w:val="0"/>
        <w:color w:val="auto"/>
        <w:sz w:val="2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58B030FE"/>
    <w:multiLevelType w:val="hybridMultilevel"/>
    <w:tmpl w:val="058AFC3C"/>
    <w:styleLink w:val="TableNListnumberedmultilevel"/>
    <w:lvl w:ilvl="0" w:tplc="29C6E49E">
      <w:start w:val="1"/>
      <w:numFmt w:val="bullet"/>
      <w:lvlText w:val=""/>
      <w:lvlJc w:val="left"/>
      <w:pPr>
        <w:ind w:left="1440" w:hanging="360"/>
      </w:pPr>
      <w:rPr>
        <w:rFonts w:ascii="Symbol" w:hAnsi="Symbol"/>
      </w:rPr>
    </w:lvl>
    <w:lvl w:ilvl="1" w:tplc="02364800">
      <w:start w:val="1"/>
      <w:numFmt w:val="bullet"/>
      <w:lvlText w:val=""/>
      <w:lvlJc w:val="left"/>
      <w:pPr>
        <w:ind w:left="1440" w:hanging="360"/>
      </w:pPr>
      <w:rPr>
        <w:rFonts w:ascii="Symbol" w:hAnsi="Symbol"/>
      </w:rPr>
    </w:lvl>
    <w:lvl w:ilvl="2" w:tplc="78D85498">
      <w:start w:val="1"/>
      <w:numFmt w:val="bullet"/>
      <w:lvlText w:val=""/>
      <w:lvlJc w:val="left"/>
      <w:pPr>
        <w:ind w:left="1440" w:hanging="360"/>
      </w:pPr>
      <w:rPr>
        <w:rFonts w:ascii="Symbol" w:hAnsi="Symbol"/>
      </w:rPr>
    </w:lvl>
    <w:lvl w:ilvl="3" w:tplc="E514BF26">
      <w:start w:val="1"/>
      <w:numFmt w:val="bullet"/>
      <w:lvlText w:val=""/>
      <w:lvlJc w:val="left"/>
      <w:pPr>
        <w:ind w:left="1440" w:hanging="360"/>
      </w:pPr>
      <w:rPr>
        <w:rFonts w:ascii="Symbol" w:hAnsi="Symbol"/>
      </w:rPr>
    </w:lvl>
    <w:lvl w:ilvl="4" w:tplc="AB4ACAA8">
      <w:start w:val="1"/>
      <w:numFmt w:val="bullet"/>
      <w:lvlText w:val=""/>
      <w:lvlJc w:val="left"/>
      <w:pPr>
        <w:ind w:left="1440" w:hanging="360"/>
      </w:pPr>
      <w:rPr>
        <w:rFonts w:ascii="Symbol" w:hAnsi="Symbol"/>
      </w:rPr>
    </w:lvl>
    <w:lvl w:ilvl="5" w:tplc="2EEA366A">
      <w:start w:val="1"/>
      <w:numFmt w:val="bullet"/>
      <w:lvlText w:val=""/>
      <w:lvlJc w:val="left"/>
      <w:pPr>
        <w:ind w:left="1440" w:hanging="360"/>
      </w:pPr>
      <w:rPr>
        <w:rFonts w:ascii="Symbol" w:hAnsi="Symbol"/>
      </w:rPr>
    </w:lvl>
    <w:lvl w:ilvl="6" w:tplc="E46A4EF0">
      <w:start w:val="1"/>
      <w:numFmt w:val="bullet"/>
      <w:lvlText w:val=""/>
      <w:lvlJc w:val="left"/>
      <w:pPr>
        <w:ind w:left="1440" w:hanging="360"/>
      </w:pPr>
      <w:rPr>
        <w:rFonts w:ascii="Symbol" w:hAnsi="Symbol"/>
      </w:rPr>
    </w:lvl>
    <w:lvl w:ilvl="7" w:tplc="C796613C">
      <w:start w:val="1"/>
      <w:numFmt w:val="bullet"/>
      <w:lvlText w:val=""/>
      <w:lvlJc w:val="left"/>
      <w:pPr>
        <w:ind w:left="1440" w:hanging="360"/>
      </w:pPr>
      <w:rPr>
        <w:rFonts w:ascii="Symbol" w:hAnsi="Symbol"/>
      </w:rPr>
    </w:lvl>
    <w:lvl w:ilvl="8" w:tplc="CB0E8212">
      <w:start w:val="1"/>
      <w:numFmt w:val="bullet"/>
      <w:lvlText w:val=""/>
      <w:lvlJc w:val="left"/>
      <w:pPr>
        <w:ind w:left="1440" w:hanging="360"/>
      </w:pPr>
      <w:rPr>
        <w:rFonts w:ascii="Symbol" w:hAnsi="Symbol"/>
      </w:rPr>
    </w:lvl>
  </w:abstractNum>
  <w:abstractNum w:abstractNumId="45" w15:restartNumberingAfterBreak="0">
    <w:nsid w:val="5AAC3792"/>
    <w:multiLevelType w:val="multilevel"/>
    <w:tmpl w:val="D556CE4A"/>
    <w:lvl w:ilvl="0">
      <w:start w:val="1"/>
      <w:numFmt w:val="bullet"/>
      <w:pStyle w:val="TableBullet1"/>
      <w:lvlText w:val=""/>
      <w:lvlJc w:val="left"/>
      <w:pPr>
        <w:ind w:left="170" w:hanging="170"/>
      </w:pPr>
      <w:rPr>
        <w:rFonts w:ascii="Symbol" w:hAnsi="Symbol" w:hint="default"/>
        <w:color w:val="auto"/>
      </w:rPr>
    </w:lvl>
    <w:lvl w:ilvl="1">
      <w:start w:val="1"/>
      <w:numFmt w:val="bullet"/>
      <w:pStyle w:val="TableBullet2"/>
      <w:lvlText w:val=""/>
      <w:lvlJc w:val="left"/>
      <w:pPr>
        <w:ind w:left="340" w:hanging="170"/>
      </w:pPr>
      <w:rPr>
        <w:rFonts w:ascii="Symbol" w:hAnsi="Symbol" w:hint="default"/>
        <w:color w:val="auto"/>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6" w15:restartNumberingAfterBreak="0">
    <w:nsid w:val="5D567EFE"/>
    <w:multiLevelType w:val="hybridMultilevel"/>
    <w:tmpl w:val="9530BAA8"/>
    <w:lvl w:ilvl="0" w:tplc="0C090001">
      <w:start w:val="1"/>
      <w:numFmt w:val="bullet"/>
      <w:lvlText w:val=""/>
      <w:lvlJc w:val="left"/>
      <w:pPr>
        <w:ind w:left="717" w:hanging="360"/>
      </w:pPr>
      <w:rPr>
        <w:rFonts w:ascii="Symbol" w:hAnsi="Symbol" w:hint="default"/>
      </w:rPr>
    </w:lvl>
    <w:lvl w:ilvl="1" w:tplc="FFFFFFFF">
      <w:start w:val="1"/>
      <w:numFmt w:val="bullet"/>
      <w:lvlText w:val="o"/>
      <w:lvlJc w:val="left"/>
      <w:pPr>
        <w:ind w:left="1437" w:hanging="360"/>
      </w:pPr>
      <w:rPr>
        <w:rFonts w:ascii="Courier New" w:hAnsi="Courier New" w:cs="Courier New" w:hint="default"/>
      </w:rPr>
    </w:lvl>
    <w:lvl w:ilvl="2" w:tplc="FFFFFFFF" w:tentative="1">
      <w:start w:val="1"/>
      <w:numFmt w:val="bullet"/>
      <w:lvlText w:val=""/>
      <w:lvlJc w:val="left"/>
      <w:pPr>
        <w:ind w:left="2157" w:hanging="360"/>
      </w:pPr>
      <w:rPr>
        <w:rFonts w:ascii="Wingdings" w:hAnsi="Wingdings" w:hint="default"/>
      </w:rPr>
    </w:lvl>
    <w:lvl w:ilvl="3" w:tplc="FFFFFFFF" w:tentative="1">
      <w:start w:val="1"/>
      <w:numFmt w:val="bullet"/>
      <w:lvlText w:val=""/>
      <w:lvlJc w:val="left"/>
      <w:pPr>
        <w:ind w:left="2877" w:hanging="360"/>
      </w:pPr>
      <w:rPr>
        <w:rFonts w:ascii="Symbol" w:hAnsi="Symbol" w:hint="default"/>
      </w:rPr>
    </w:lvl>
    <w:lvl w:ilvl="4" w:tplc="FFFFFFFF" w:tentative="1">
      <w:start w:val="1"/>
      <w:numFmt w:val="bullet"/>
      <w:lvlText w:val="o"/>
      <w:lvlJc w:val="left"/>
      <w:pPr>
        <w:ind w:left="3597" w:hanging="360"/>
      </w:pPr>
      <w:rPr>
        <w:rFonts w:ascii="Courier New" w:hAnsi="Courier New" w:cs="Courier New" w:hint="default"/>
      </w:rPr>
    </w:lvl>
    <w:lvl w:ilvl="5" w:tplc="FFFFFFFF" w:tentative="1">
      <w:start w:val="1"/>
      <w:numFmt w:val="bullet"/>
      <w:lvlText w:val=""/>
      <w:lvlJc w:val="left"/>
      <w:pPr>
        <w:ind w:left="4317" w:hanging="360"/>
      </w:pPr>
      <w:rPr>
        <w:rFonts w:ascii="Wingdings" w:hAnsi="Wingdings" w:hint="default"/>
      </w:rPr>
    </w:lvl>
    <w:lvl w:ilvl="6" w:tplc="FFFFFFFF" w:tentative="1">
      <w:start w:val="1"/>
      <w:numFmt w:val="bullet"/>
      <w:lvlText w:val=""/>
      <w:lvlJc w:val="left"/>
      <w:pPr>
        <w:ind w:left="5037" w:hanging="360"/>
      </w:pPr>
      <w:rPr>
        <w:rFonts w:ascii="Symbol" w:hAnsi="Symbol" w:hint="default"/>
      </w:rPr>
    </w:lvl>
    <w:lvl w:ilvl="7" w:tplc="FFFFFFFF" w:tentative="1">
      <w:start w:val="1"/>
      <w:numFmt w:val="bullet"/>
      <w:lvlText w:val="o"/>
      <w:lvlJc w:val="left"/>
      <w:pPr>
        <w:ind w:left="5757" w:hanging="360"/>
      </w:pPr>
      <w:rPr>
        <w:rFonts w:ascii="Courier New" w:hAnsi="Courier New" w:cs="Courier New" w:hint="default"/>
      </w:rPr>
    </w:lvl>
    <w:lvl w:ilvl="8" w:tplc="FFFFFFFF" w:tentative="1">
      <w:start w:val="1"/>
      <w:numFmt w:val="bullet"/>
      <w:lvlText w:val=""/>
      <w:lvlJc w:val="left"/>
      <w:pPr>
        <w:ind w:left="6477" w:hanging="360"/>
      </w:pPr>
      <w:rPr>
        <w:rFonts w:ascii="Wingdings" w:hAnsi="Wingdings" w:hint="default"/>
      </w:rPr>
    </w:lvl>
  </w:abstractNum>
  <w:abstractNum w:abstractNumId="47" w15:restartNumberingAfterBreak="0">
    <w:nsid w:val="5DA140FE"/>
    <w:multiLevelType w:val="multilevel"/>
    <w:tmpl w:val="EE48EAA8"/>
    <w:lvl w:ilvl="0">
      <w:start w:val="1"/>
      <w:numFmt w:val="none"/>
      <w:pStyle w:val="Heading1"/>
      <w:lvlText w:val=""/>
      <w:lvlJc w:val="left"/>
      <w:pPr>
        <w:tabs>
          <w:tab w:val="num" w:pos="794"/>
        </w:tabs>
        <w:ind w:left="0" w:firstLine="0"/>
      </w:pPr>
      <w:rPr>
        <w:rFonts w:hint="default"/>
        <w:sz w:val="48"/>
        <w:szCs w:val="48"/>
      </w:rPr>
    </w:lvl>
    <w:lvl w:ilvl="1">
      <w:start w:val="1"/>
      <w:numFmt w:val="none"/>
      <w:pStyle w:val="Heading2"/>
      <w:lvlText w:val=""/>
      <w:lvlJc w:val="left"/>
      <w:pPr>
        <w:tabs>
          <w:tab w:val="num" w:pos="794"/>
        </w:tabs>
        <w:ind w:left="0" w:firstLine="0"/>
      </w:pPr>
      <w:rPr>
        <w:rFonts w:hint="default"/>
      </w:rPr>
    </w:lvl>
    <w:lvl w:ilvl="2">
      <w:start w:val="1"/>
      <w:numFmt w:val="none"/>
      <w:pStyle w:val="Heading3"/>
      <w:lvlText w:val=""/>
      <w:lvlJc w:val="left"/>
      <w:pPr>
        <w:tabs>
          <w:tab w:val="num" w:pos="794"/>
        </w:tabs>
        <w:ind w:left="0" w:firstLine="0"/>
      </w:pPr>
      <w:rPr>
        <w:rFonts w:hint="default"/>
      </w:rPr>
    </w:lvl>
    <w:lvl w:ilvl="3">
      <w:start w:val="1"/>
      <w:numFmt w:val="none"/>
      <w:pStyle w:val="Heading4"/>
      <w:lvlText w:val=""/>
      <w:lvlJc w:val="left"/>
      <w:pPr>
        <w:tabs>
          <w:tab w:val="num" w:pos="794"/>
        </w:tabs>
        <w:ind w:left="0" w:firstLine="0"/>
      </w:pPr>
      <w:rPr>
        <w:rFonts w:hint="default"/>
      </w:rPr>
    </w:lvl>
    <w:lvl w:ilvl="4">
      <w:start w:val="1"/>
      <w:numFmt w:val="none"/>
      <w:pStyle w:val="Heading5"/>
      <w:lvlText w:val="%5%1"/>
      <w:lvlJc w:val="left"/>
      <w:pPr>
        <w:tabs>
          <w:tab w:val="num" w:pos="794"/>
        </w:tabs>
        <w:ind w:left="0" w:firstLine="0"/>
      </w:pPr>
      <w:rPr>
        <w:rFonts w:hint="default"/>
      </w:rPr>
    </w:lvl>
    <w:lvl w:ilvl="5">
      <w:start w:val="1"/>
      <w:numFmt w:val="none"/>
      <w:lvlText w:val=""/>
      <w:lvlJc w:val="left"/>
      <w:pPr>
        <w:tabs>
          <w:tab w:val="num" w:pos="794"/>
        </w:tabs>
        <w:ind w:left="0" w:firstLine="0"/>
      </w:pPr>
      <w:rPr>
        <w:rFonts w:hint="default"/>
      </w:rPr>
    </w:lvl>
    <w:lvl w:ilvl="6">
      <w:start w:val="1"/>
      <w:numFmt w:val="none"/>
      <w:lvlText w:val=""/>
      <w:lvlJc w:val="left"/>
      <w:pPr>
        <w:tabs>
          <w:tab w:val="num" w:pos="794"/>
        </w:tabs>
        <w:ind w:left="0" w:firstLine="0"/>
      </w:pPr>
      <w:rPr>
        <w:rFonts w:hint="default"/>
      </w:rPr>
    </w:lvl>
    <w:lvl w:ilvl="7">
      <w:start w:val="1"/>
      <w:numFmt w:val="none"/>
      <w:lvlText w:val=""/>
      <w:lvlJc w:val="left"/>
      <w:pPr>
        <w:tabs>
          <w:tab w:val="num" w:pos="794"/>
        </w:tabs>
        <w:ind w:left="0" w:firstLine="0"/>
      </w:pPr>
      <w:rPr>
        <w:rFonts w:hint="default"/>
      </w:rPr>
    </w:lvl>
    <w:lvl w:ilvl="8">
      <w:start w:val="1"/>
      <w:numFmt w:val="none"/>
      <w:lvlText w:val=""/>
      <w:lvlJc w:val="left"/>
      <w:pPr>
        <w:tabs>
          <w:tab w:val="num" w:pos="794"/>
        </w:tabs>
        <w:ind w:left="0" w:firstLine="0"/>
      </w:pPr>
      <w:rPr>
        <w:rFonts w:hint="default"/>
      </w:rPr>
    </w:lvl>
  </w:abstractNum>
  <w:abstractNum w:abstractNumId="48" w15:restartNumberingAfterBreak="0">
    <w:nsid w:val="612C327E"/>
    <w:multiLevelType w:val="hybridMultilevel"/>
    <w:tmpl w:val="F97CD544"/>
    <w:styleLink w:val="Listnumberedmultilevel"/>
    <w:lvl w:ilvl="0" w:tplc="32C88964">
      <w:start w:val="1"/>
      <w:numFmt w:val="bullet"/>
      <w:lvlText w:val=""/>
      <w:lvlJc w:val="left"/>
      <w:pPr>
        <w:ind w:left="1440" w:hanging="360"/>
      </w:pPr>
      <w:rPr>
        <w:rFonts w:ascii="Symbol" w:hAnsi="Symbol"/>
      </w:rPr>
    </w:lvl>
    <w:lvl w:ilvl="1" w:tplc="67CEEA7E">
      <w:start w:val="1"/>
      <w:numFmt w:val="bullet"/>
      <w:lvlText w:val=""/>
      <w:lvlJc w:val="left"/>
      <w:pPr>
        <w:ind w:left="1440" w:hanging="360"/>
      </w:pPr>
      <w:rPr>
        <w:rFonts w:ascii="Symbol" w:hAnsi="Symbol"/>
      </w:rPr>
    </w:lvl>
    <w:lvl w:ilvl="2" w:tplc="79B46FD2">
      <w:start w:val="1"/>
      <w:numFmt w:val="bullet"/>
      <w:lvlText w:val=""/>
      <w:lvlJc w:val="left"/>
      <w:pPr>
        <w:ind w:left="1440" w:hanging="360"/>
      </w:pPr>
      <w:rPr>
        <w:rFonts w:ascii="Symbol" w:hAnsi="Symbol"/>
      </w:rPr>
    </w:lvl>
    <w:lvl w:ilvl="3" w:tplc="69B84B76">
      <w:start w:val="1"/>
      <w:numFmt w:val="bullet"/>
      <w:lvlText w:val=""/>
      <w:lvlJc w:val="left"/>
      <w:pPr>
        <w:ind w:left="1440" w:hanging="360"/>
      </w:pPr>
      <w:rPr>
        <w:rFonts w:ascii="Symbol" w:hAnsi="Symbol"/>
      </w:rPr>
    </w:lvl>
    <w:lvl w:ilvl="4" w:tplc="7F765F7A">
      <w:start w:val="1"/>
      <w:numFmt w:val="bullet"/>
      <w:lvlText w:val=""/>
      <w:lvlJc w:val="left"/>
      <w:pPr>
        <w:ind w:left="1440" w:hanging="360"/>
      </w:pPr>
      <w:rPr>
        <w:rFonts w:ascii="Symbol" w:hAnsi="Symbol"/>
      </w:rPr>
    </w:lvl>
    <w:lvl w:ilvl="5" w:tplc="458EC4E4">
      <w:start w:val="1"/>
      <w:numFmt w:val="bullet"/>
      <w:lvlText w:val=""/>
      <w:lvlJc w:val="left"/>
      <w:pPr>
        <w:ind w:left="1440" w:hanging="360"/>
      </w:pPr>
      <w:rPr>
        <w:rFonts w:ascii="Symbol" w:hAnsi="Symbol"/>
      </w:rPr>
    </w:lvl>
    <w:lvl w:ilvl="6" w:tplc="EA5666FC">
      <w:start w:val="1"/>
      <w:numFmt w:val="bullet"/>
      <w:lvlText w:val=""/>
      <w:lvlJc w:val="left"/>
      <w:pPr>
        <w:ind w:left="1440" w:hanging="360"/>
      </w:pPr>
      <w:rPr>
        <w:rFonts w:ascii="Symbol" w:hAnsi="Symbol"/>
      </w:rPr>
    </w:lvl>
    <w:lvl w:ilvl="7" w:tplc="642077F4">
      <w:start w:val="1"/>
      <w:numFmt w:val="bullet"/>
      <w:lvlText w:val=""/>
      <w:lvlJc w:val="left"/>
      <w:pPr>
        <w:ind w:left="1440" w:hanging="360"/>
      </w:pPr>
      <w:rPr>
        <w:rFonts w:ascii="Symbol" w:hAnsi="Symbol"/>
      </w:rPr>
    </w:lvl>
    <w:lvl w:ilvl="8" w:tplc="3A3A3CD0">
      <w:start w:val="1"/>
      <w:numFmt w:val="bullet"/>
      <w:lvlText w:val=""/>
      <w:lvlJc w:val="left"/>
      <w:pPr>
        <w:ind w:left="1440" w:hanging="360"/>
      </w:pPr>
      <w:rPr>
        <w:rFonts w:ascii="Symbol" w:hAnsi="Symbol"/>
      </w:rPr>
    </w:lvl>
  </w:abstractNum>
  <w:abstractNum w:abstractNumId="49" w15:restartNumberingAfterBreak="0">
    <w:nsid w:val="627E51E1"/>
    <w:multiLevelType w:val="hybridMultilevel"/>
    <w:tmpl w:val="627E12E6"/>
    <w:lvl w:ilvl="0" w:tplc="FC0ACD04">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0" w15:restartNumberingAfterBreak="0">
    <w:nsid w:val="62D07F81"/>
    <w:multiLevelType w:val="hybridMultilevel"/>
    <w:tmpl w:val="B9D6D91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1" w15:restartNumberingAfterBreak="0">
    <w:nsid w:val="63E46474"/>
    <w:multiLevelType w:val="hybridMultilevel"/>
    <w:tmpl w:val="C0F03DD6"/>
    <w:lvl w:ilvl="0" w:tplc="D02476F2">
      <w:start w:val="1"/>
      <w:numFmt w:val="bullet"/>
      <w:pStyle w:val="Bullet3"/>
      <w:lvlText w:val=""/>
      <w:lvlJc w:val="left"/>
      <w:pPr>
        <w:tabs>
          <w:tab w:val="num" w:pos="850"/>
        </w:tabs>
        <w:ind w:left="850" w:hanging="283"/>
      </w:pPr>
      <w:rPr>
        <w:rFonts w:ascii="Symbol" w:hAnsi="Symbol" w:hint="default"/>
        <w:b w:val="0"/>
        <w:i w:val="0"/>
        <w:color w:val="auto"/>
        <w:sz w:val="16"/>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64276616"/>
    <w:multiLevelType w:val="hybridMultilevel"/>
    <w:tmpl w:val="65B2F4F8"/>
    <w:lvl w:ilvl="0" w:tplc="CD0A7DD6">
      <w:start w:val="1"/>
      <w:numFmt w:val="bullet"/>
      <w:lvlText w:val=""/>
      <w:lvlJc w:val="left"/>
      <w:pPr>
        <w:ind w:left="360" w:hanging="360"/>
      </w:pPr>
      <w:rPr>
        <w:rFonts w:ascii="Wingdings" w:hAnsi="Wingdings" w:hint="default"/>
        <w:color w:val="D7153A" w:themeColor="accent2"/>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3" w15:restartNumberingAfterBreak="0">
    <w:nsid w:val="68403247"/>
    <w:multiLevelType w:val="hybridMultilevel"/>
    <w:tmpl w:val="9920DFFA"/>
    <w:lvl w:ilvl="0" w:tplc="FFFFFFFF">
      <w:start w:val="1"/>
      <w:numFmt w:val="bullet"/>
      <w:lvlText w:val=""/>
      <w:lvlJc w:val="left"/>
      <w:pPr>
        <w:ind w:left="720" w:hanging="360"/>
      </w:pPr>
      <w:rPr>
        <w:rFonts w:ascii="Symbol" w:hAnsi="Symbol" w:hint="default"/>
        <w:color w:val="auto"/>
      </w:rPr>
    </w:lvl>
    <w:lvl w:ilvl="1" w:tplc="8522CD32">
      <w:start w:val="1"/>
      <w:numFmt w:val="bullet"/>
      <w:lvlText w:val="o"/>
      <w:lvlJc w:val="left"/>
      <w:pPr>
        <w:ind w:left="1440" w:hanging="360"/>
      </w:pPr>
      <w:rPr>
        <w:rFonts w:ascii="Courier New" w:hAnsi="Courier New" w:hint="default"/>
        <w:color w:val="auto"/>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4" w15:restartNumberingAfterBreak="0">
    <w:nsid w:val="6A73050C"/>
    <w:multiLevelType w:val="hybridMultilevel"/>
    <w:tmpl w:val="5BA64BBC"/>
    <w:lvl w:ilvl="0" w:tplc="FEB4EAEC">
      <w:start w:val="1"/>
      <w:numFmt w:val="bullet"/>
      <w:pStyle w:val="Bulletbodytext"/>
      <w:lvlText w:val=""/>
      <w:lvlJc w:val="left"/>
      <w:pPr>
        <w:ind w:left="360" w:hanging="360"/>
      </w:pPr>
      <w:rPr>
        <w:rFonts w:ascii="Symbol" w:hAnsi="Symbol" w:hint="default"/>
        <w:color w:val="000000"/>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DE24B20"/>
    <w:multiLevelType w:val="hybridMultilevel"/>
    <w:tmpl w:val="4B7410E0"/>
    <w:lvl w:ilvl="0" w:tplc="FFFFFFFF">
      <w:start w:val="1"/>
      <w:numFmt w:val="bullet"/>
      <w:lvlText w:val="o"/>
      <w:lvlJc w:val="left"/>
      <w:pPr>
        <w:ind w:left="770" w:hanging="360"/>
      </w:pPr>
      <w:rPr>
        <w:rFonts w:ascii="Courier New" w:hAnsi="Courier New" w:cs="Courier New" w:hint="default"/>
      </w:rPr>
    </w:lvl>
    <w:lvl w:ilvl="1" w:tplc="FFFFFFFF" w:tentative="1">
      <w:start w:val="1"/>
      <w:numFmt w:val="bullet"/>
      <w:lvlText w:val="o"/>
      <w:lvlJc w:val="left"/>
      <w:pPr>
        <w:ind w:left="1490" w:hanging="360"/>
      </w:pPr>
      <w:rPr>
        <w:rFonts w:ascii="Courier New" w:hAnsi="Courier New" w:cs="Courier New" w:hint="default"/>
      </w:rPr>
    </w:lvl>
    <w:lvl w:ilvl="2" w:tplc="FFFFFFFF" w:tentative="1">
      <w:start w:val="1"/>
      <w:numFmt w:val="bullet"/>
      <w:lvlText w:val=""/>
      <w:lvlJc w:val="left"/>
      <w:pPr>
        <w:ind w:left="2210" w:hanging="360"/>
      </w:pPr>
      <w:rPr>
        <w:rFonts w:ascii="Wingdings" w:hAnsi="Wingdings" w:hint="default"/>
      </w:rPr>
    </w:lvl>
    <w:lvl w:ilvl="3" w:tplc="FFFFFFFF" w:tentative="1">
      <w:start w:val="1"/>
      <w:numFmt w:val="bullet"/>
      <w:lvlText w:val=""/>
      <w:lvlJc w:val="left"/>
      <w:pPr>
        <w:ind w:left="2930" w:hanging="360"/>
      </w:pPr>
      <w:rPr>
        <w:rFonts w:ascii="Symbol" w:hAnsi="Symbol" w:hint="default"/>
      </w:rPr>
    </w:lvl>
    <w:lvl w:ilvl="4" w:tplc="FFFFFFFF" w:tentative="1">
      <w:start w:val="1"/>
      <w:numFmt w:val="bullet"/>
      <w:lvlText w:val="o"/>
      <w:lvlJc w:val="left"/>
      <w:pPr>
        <w:ind w:left="3650" w:hanging="360"/>
      </w:pPr>
      <w:rPr>
        <w:rFonts w:ascii="Courier New" w:hAnsi="Courier New" w:cs="Courier New" w:hint="default"/>
      </w:rPr>
    </w:lvl>
    <w:lvl w:ilvl="5" w:tplc="FFFFFFFF" w:tentative="1">
      <w:start w:val="1"/>
      <w:numFmt w:val="bullet"/>
      <w:lvlText w:val=""/>
      <w:lvlJc w:val="left"/>
      <w:pPr>
        <w:ind w:left="4370" w:hanging="360"/>
      </w:pPr>
      <w:rPr>
        <w:rFonts w:ascii="Wingdings" w:hAnsi="Wingdings" w:hint="default"/>
      </w:rPr>
    </w:lvl>
    <w:lvl w:ilvl="6" w:tplc="FFFFFFFF" w:tentative="1">
      <w:start w:val="1"/>
      <w:numFmt w:val="bullet"/>
      <w:lvlText w:val=""/>
      <w:lvlJc w:val="left"/>
      <w:pPr>
        <w:ind w:left="5090" w:hanging="360"/>
      </w:pPr>
      <w:rPr>
        <w:rFonts w:ascii="Symbol" w:hAnsi="Symbol" w:hint="default"/>
      </w:rPr>
    </w:lvl>
    <w:lvl w:ilvl="7" w:tplc="FFFFFFFF" w:tentative="1">
      <w:start w:val="1"/>
      <w:numFmt w:val="bullet"/>
      <w:lvlText w:val="o"/>
      <w:lvlJc w:val="left"/>
      <w:pPr>
        <w:ind w:left="5810" w:hanging="360"/>
      </w:pPr>
      <w:rPr>
        <w:rFonts w:ascii="Courier New" w:hAnsi="Courier New" w:cs="Courier New" w:hint="default"/>
      </w:rPr>
    </w:lvl>
    <w:lvl w:ilvl="8" w:tplc="FFFFFFFF" w:tentative="1">
      <w:start w:val="1"/>
      <w:numFmt w:val="bullet"/>
      <w:lvlText w:val=""/>
      <w:lvlJc w:val="left"/>
      <w:pPr>
        <w:ind w:left="6530" w:hanging="360"/>
      </w:pPr>
      <w:rPr>
        <w:rFonts w:ascii="Wingdings" w:hAnsi="Wingdings" w:hint="default"/>
      </w:rPr>
    </w:lvl>
  </w:abstractNum>
  <w:abstractNum w:abstractNumId="56" w15:restartNumberingAfterBreak="0">
    <w:nsid w:val="6E1B5FEA"/>
    <w:multiLevelType w:val="hybridMultilevel"/>
    <w:tmpl w:val="B4D24A2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7" w15:restartNumberingAfterBreak="0">
    <w:nsid w:val="6FD76835"/>
    <w:multiLevelType w:val="hybridMultilevel"/>
    <w:tmpl w:val="E9922670"/>
    <w:lvl w:ilvl="0" w:tplc="EE56FFD0">
      <w:start w:val="1"/>
      <w:numFmt w:val="bullet"/>
      <w:pStyle w:val="Quoteattribution"/>
      <w:lvlText w:val="—"/>
      <w:lvlJc w:val="left"/>
      <w:pPr>
        <w:ind w:left="720" w:hanging="360"/>
      </w:pPr>
      <w:rPr>
        <w:rFonts w:ascii="Reckless Neue" w:hAnsi="Reckless Neue" w:hint="default"/>
        <w:b w:val="0"/>
        <w:i w:val="0"/>
        <w:color w:val="auto"/>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71A16EBA"/>
    <w:multiLevelType w:val="multilevel"/>
    <w:tmpl w:val="8B0CB8A8"/>
    <w:lvl w:ilvl="0">
      <w:start w:val="1"/>
      <w:numFmt w:val="upperLetter"/>
      <w:pStyle w:val="xAppendixLevel1"/>
      <w:lvlText w:val="Appendix %1"/>
      <w:lvlJc w:val="left"/>
      <w:pPr>
        <w:ind w:left="3545" w:hanging="2268"/>
      </w:pPr>
      <w:rPr>
        <w:rFonts w:hint="default"/>
      </w:rPr>
    </w:lvl>
    <w:lvl w:ilvl="1">
      <w:start w:val="1"/>
      <w:numFmt w:val="decimal"/>
      <w:pStyle w:val="xAppendixLevel2"/>
      <w:lvlText w:val="%1.%2"/>
      <w:lvlJc w:val="left"/>
      <w:pPr>
        <w:ind w:left="567" w:hanging="851"/>
      </w:pPr>
      <w:rPr>
        <w:rFonts w:hint="default"/>
        <w:color w:val="00264D"/>
        <w:sz w:val="34"/>
        <w:szCs w:val="34"/>
      </w:rPr>
    </w:lvl>
    <w:lvl w:ilvl="2">
      <w:start w:val="1"/>
      <w:numFmt w:val="decimal"/>
      <w:lvlText w:val="%1.%2.%3"/>
      <w:lvlJc w:val="left"/>
      <w:pPr>
        <w:ind w:left="567" w:hanging="851"/>
      </w:pPr>
      <w:rPr>
        <w:rFonts w:hint="default"/>
        <w:color w:val="00264D"/>
        <w:sz w:val="28"/>
        <w:szCs w:val="28"/>
      </w:rPr>
    </w:lvl>
    <w:lvl w:ilvl="3">
      <w:start w:val="1"/>
      <w:numFmt w:val="decimal"/>
      <w:lvlText w:val="(%4)"/>
      <w:lvlJc w:val="left"/>
      <w:pPr>
        <w:ind w:left="1156" w:hanging="360"/>
      </w:pPr>
      <w:rPr>
        <w:rFonts w:hint="default"/>
      </w:rPr>
    </w:lvl>
    <w:lvl w:ilvl="4">
      <w:start w:val="1"/>
      <w:numFmt w:val="lowerLetter"/>
      <w:lvlText w:val="(%5)"/>
      <w:lvlJc w:val="left"/>
      <w:pPr>
        <w:ind w:left="1516" w:hanging="360"/>
      </w:pPr>
      <w:rPr>
        <w:rFonts w:hint="default"/>
      </w:rPr>
    </w:lvl>
    <w:lvl w:ilvl="5">
      <w:start w:val="1"/>
      <w:numFmt w:val="lowerRoman"/>
      <w:lvlText w:val="(%6)"/>
      <w:lvlJc w:val="left"/>
      <w:pPr>
        <w:ind w:left="1876" w:hanging="360"/>
      </w:pPr>
      <w:rPr>
        <w:rFonts w:hint="default"/>
      </w:rPr>
    </w:lvl>
    <w:lvl w:ilvl="6">
      <w:start w:val="1"/>
      <w:numFmt w:val="decimal"/>
      <w:lvlText w:val="%7."/>
      <w:lvlJc w:val="left"/>
      <w:pPr>
        <w:ind w:left="2236" w:hanging="360"/>
      </w:pPr>
      <w:rPr>
        <w:rFonts w:hint="default"/>
      </w:rPr>
    </w:lvl>
    <w:lvl w:ilvl="7">
      <w:start w:val="1"/>
      <w:numFmt w:val="lowerLetter"/>
      <w:lvlText w:val="%8."/>
      <w:lvlJc w:val="left"/>
      <w:pPr>
        <w:ind w:left="2596" w:hanging="360"/>
      </w:pPr>
      <w:rPr>
        <w:rFonts w:hint="default"/>
      </w:rPr>
    </w:lvl>
    <w:lvl w:ilvl="8">
      <w:start w:val="1"/>
      <w:numFmt w:val="lowerRoman"/>
      <w:lvlText w:val="%9."/>
      <w:lvlJc w:val="left"/>
      <w:pPr>
        <w:ind w:left="2956" w:hanging="360"/>
      </w:pPr>
      <w:rPr>
        <w:rFonts w:hint="default"/>
      </w:rPr>
    </w:lvl>
  </w:abstractNum>
  <w:abstractNum w:abstractNumId="59" w15:restartNumberingAfterBreak="0">
    <w:nsid w:val="71D972D6"/>
    <w:multiLevelType w:val="hybridMultilevel"/>
    <w:tmpl w:val="84B44E50"/>
    <w:lvl w:ilvl="0" w:tplc="0C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0" w15:restartNumberingAfterBreak="0">
    <w:nsid w:val="75062C1D"/>
    <w:multiLevelType w:val="hybridMultilevel"/>
    <w:tmpl w:val="33CEAC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76FC64CA"/>
    <w:multiLevelType w:val="multilevel"/>
    <w:tmpl w:val="4AB0AFB6"/>
    <w:lvl w:ilvl="0">
      <w:start w:val="1"/>
      <w:numFmt w:val="decimal"/>
      <w:pStyle w:val="List"/>
      <w:lvlText w:val="%1."/>
      <w:lvlJc w:val="left"/>
      <w:pPr>
        <w:tabs>
          <w:tab w:val="num" w:pos="284"/>
        </w:tabs>
        <w:ind w:left="284" w:hanging="284"/>
      </w:pPr>
      <w:rPr>
        <w:rFonts w:hint="default"/>
      </w:rPr>
    </w:lvl>
    <w:lvl w:ilvl="1">
      <w:start w:val="1"/>
      <w:numFmt w:val="lowerLetter"/>
      <w:pStyle w:val="Lista"/>
      <w:lvlText w:val="%2."/>
      <w:lvlJc w:val="left"/>
      <w:pPr>
        <w:tabs>
          <w:tab w:val="num" w:pos="567"/>
        </w:tabs>
        <w:ind w:left="567" w:hanging="283"/>
      </w:pPr>
      <w:rPr>
        <w:rFonts w:hint="default"/>
      </w:rPr>
    </w:lvl>
    <w:lvl w:ilvl="2">
      <w:start w:val="1"/>
      <w:numFmt w:val="lowerRoman"/>
      <w:pStyle w:val="Listi"/>
      <w:lvlText w:val="%3."/>
      <w:lvlJc w:val="right"/>
      <w:pPr>
        <w:tabs>
          <w:tab w:val="num" w:pos="851"/>
        </w:tabs>
        <w:ind w:left="851" w:hanging="284"/>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2" w15:restartNumberingAfterBreak="0">
    <w:nsid w:val="7E140712"/>
    <w:multiLevelType w:val="multilevel"/>
    <w:tmpl w:val="58507ECE"/>
    <w:lvl w:ilvl="0">
      <w:start w:val="1"/>
      <w:numFmt w:val="bullet"/>
      <w:pStyle w:val="BulletsLevel1"/>
      <w:lvlText w:val=""/>
      <w:lvlJc w:val="left"/>
      <w:pPr>
        <w:ind w:left="397" w:hanging="397"/>
      </w:pPr>
      <w:rPr>
        <w:rFonts w:ascii="Symbol" w:hAnsi="Symbol" w:hint="default"/>
        <w:color w:val="002060"/>
        <w:spacing w:val="-6"/>
        <w:w w:val="100"/>
        <w:sz w:val="20"/>
        <w:szCs w:val="20"/>
        <w:lang w:val="en-US" w:eastAsia="en-US" w:bidi="en-US"/>
      </w:rPr>
    </w:lvl>
    <w:lvl w:ilvl="1">
      <w:numFmt w:val="bullet"/>
      <w:lvlText w:val="–"/>
      <w:lvlJc w:val="left"/>
      <w:pPr>
        <w:ind w:left="794" w:hanging="397"/>
      </w:pPr>
      <w:rPr>
        <w:rFonts w:ascii="Avenir-Book" w:hAnsi="Avenir-Book" w:hint="default"/>
        <w:color w:val="231F20"/>
        <w:spacing w:val="-23"/>
        <w:w w:val="100"/>
        <w:sz w:val="20"/>
        <w:szCs w:val="20"/>
        <w:lang w:val="en-US" w:eastAsia="en-US" w:bidi="en-US"/>
      </w:rPr>
    </w:lvl>
    <w:lvl w:ilvl="2">
      <w:numFmt w:val="bullet"/>
      <w:lvlText w:val=""/>
      <w:lvlJc w:val="left"/>
      <w:pPr>
        <w:tabs>
          <w:tab w:val="num" w:pos="1191"/>
        </w:tabs>
        <w:ind w:left="1191" w:hanging="397"/>
      </w:pPr>
      <w:rPr>
        <w:rFonts w:ascii="Wingdings 2" w:hAnsi="Wingdings 2" w:hint="default"/>
        <w:lang w:val="en-US" w:eastAsia="en-US" w:bidi="en-US"/>
      </w:rPr>
    </w:lvl>
    <w:lvl w:ilvl="3">
      <w:numFmt w:val="bullet"/>
      <w:lvlText w:val=""/>
      <w:lvlJc w:val="left"/>
      <w:pPr>
        <w:ind w:left="1588" w:hanging="397"/>
      </w:pPr>
      <w:rPr>
        <w:rFonts w:ascii="Wingdings 2" w:hAnsi="Wingdings 2" w:hint="default"/>
        <w:lang w:val="en-US" w:eastAsia="en-US" w:bidi="en-US"/>
      </w:rPr>
    </w:lvl>
    <w:lvl w:ilvl="4">
      <w:numFmt w:val="bullet"/>
      <w:lvlText w:val="•"/>
      <w:lvlJc w:val="left"/>
      <w:pPr>
        <w:ind w:left="1214" w:hanging="300"/>
      </w:pPr>
      <w:rPr>
        <w:rFonts w:hint="default"/>
        <w:lang w:val="en-US" w:eastAsia="en-US" w:bidi="en-US"/>
      </w:rPr>
    </w:lvl>
    <w:lvl w:ilvl="5">
      <w:numFmt w:val="bullet"/>
      <w:lvlText w:val="•"/>
      <w:lvlJc w:val="left"/>
      <w:pPr>
        <w:ind w:left="1441" w:hanging="300"/>
      </w:pPr>
      <w:rPr>
        <w:rFonts w:hint="default"/>
        <w:lang w:val="en-US" w:eastAsia="en-US" w:bidi="en-US"/>
      </w:rPr>
    </w:lvl>
    <w:lvl w:ilvl="6">
      <w:numFmt w:val="bullet"/>
      <w:lvlText w:val="•"/>
      <w:lvlJc w:val="left"/>
      <w:pPr>
        <w:ind w:left="1668" w:hanging="300"/>
      </w:pPr>
      <w:rPr>
        <w:rFonts w:hint="default"/>
        <w:lang w:val="en-US" w:eastAsia="en-US" w:bidi="en-US"/>
      </w:rPr>
    </w:lvl>
    <w:lvl w:ilvl="7">
      <w:numFmt w:val="bullet"/>
      <w:lvlText w:val="•"/>
      <w:lvlJc w:val="left"/>
      <w:pPr>
        <w:ind w:left="1895" w:hanging="300"/>
      </w:pPr>
      <w:rPr>
        <w:rFonts w:hint="default"/>
        <w:lang w:val="en-US" w:eastAsia="en-US" w:bidi="en-US"/>
      </w:rPr>
    </w:lvl>
    <w:lvl w:ilvl="8">
      <w:numFmt w:val="bullet"/>
      <w:lvlText w:val="•"/>
      <w:lvlJc w:val="left"/>
      <w:pPr>
        <w:ind w:left="2122" w:hanging="300"/>
      </w:pPr>
      <w:rPr>
        <w:rFonts w:hint="default"/>
        <w:lang w:val="en-US" w:eastAsia="en-US" w:bidi="en-US"/>
      </w:rPr>
    </w:lvl>
  </w:abstractNum>
  <w:num w:numId="1" w16cid:durableId="3559734">
    <w:abstractNumId w:val="40"/>
  </w:num>
  <w:num w:numId="2" w16cid:durableId="847990096">
    <w:abstractNumId w:val="42"/>
  </w:num>
  <w:num w:numId="3" w16cid:durableId="503790137">
    <w:abstractNumId w:val="24"/>
  </w:num>
  <w:num w:numId="4" w16cid:durableId="2012565857">
    <w:abstractNumId w:val="10"/>
  </w:num>
  <w:num w:numId="5" w16cid:durableId="76903290">
    <w:abstractNumId w:val="16"/>
  </w:num>
  <w:num w:numId="6" w16cid:durableId="1335379687">
    <w:abstractNumId w:val="40"/>
  </w:num>
  <w:num w:numId="7" w16cid:durableId="2010210550">
    <w:abstractNumId w:val="12"/>
  </w:num>
  <w:num w:numId="8" w16cid:durableId="1690599121">
    <w:abstractNumId w:val="47"/>
  </w:num>
  <w:num w:numId="9" w16cid:durableId="1633707816">
    <w:abstractNumId w:val="4"/>
  </w:num>
  <w:num w:numId="10" w16cid:durableId="460660717">
    <w:abstractNumId w:val="43"/>
  </w:num>
  <w:num w:numId="11" w16cid:durableId="24870753">
    <w:abstractNumId w:val="51"/>
  </w:num>
  <w:num w:numId="12" w16cid:durableId="2029719898">
    <w:abstractNumId w:val="61"/>
  </w:num>
  <w:num w:numId="13" w16cid:durableId="1856113943">
    <w:abstractNumId w:val="57"/>
  </w:num>
  <w:num w:numId="14" w16cid:durableId="1742405910">
    <w:abstractNumId w:val="15"/>
  </w:num>
  <w:num w:numId="15" w16cid:durableId="1172994035">
    <w:abstractNumId w:val="54"/>
  </w:num>
  <w:num w:numId="16" w16cid:durableId="1698000368">
    <w:abstractNumId w:val="58"/>
  </w:num>
  <w:num w:numId="17" w16cid:durableId="1805198353">
    <w:abstractNumId w:val="27"/>
  </w:num>
  <w:num w:numId="18" w16cid:durableId="1328704634">
    <w:abstractNumId w:val="31"/>
  </w:num>
  <w:num w:numId="19" w16cid:durableId="1410038195">
    <w:abstractNumId w:val="35"/>
  </w:num>
  <w:num w:numId="20" w16cid:durableId="269897692">
    <w:abstractNumId w:val="36"/>
  </w:num>
  <w:num w:numId="21" w16cid:durableId="1787384729">
    <w:abstractNumId w:val="3"/>
  </w:num>
  <w:num w:numId="22" w16cid:durableId="1646734272">
    <w:abstractNumId w:val="9"/>
  </w:num>
  <w:num w:numId="23" w16cid:durableId="522284964">
    <w:abstractNumId w:val="44"/>
  </w:num>
  <w:num w:numId="24" w16cid:durableId="885527765">
    <w:abstractNumId w:val="0"/>
  </w:num>
  <w:num w:numId="25" w16cid:durableId="1743411908">
    <w:abstractNumId w:val="48"/>
  </w:num>
  <w:num w:numId="26" w16cid:durableId="1308121039">
    <w:abstractNumId w:val="62"/>
  </w:num>
  <w:num w:numId="27" w16cid:durableId="1809743221">
    <w:abstractNumId w:val="7"/>
  </w:num>
  <w:num w:numId="28" w16cid:durableId="1289579894">
    <w:abstractNumId w:val="45"/>
  </w:num>
  <w:num w:numId="29" w16cid:durableId="616910250">
    <w:abstractNumId w:val="20"/>
  </w:num>
  <w:num w:numId="30" w16cid:durableId="65108630">
    <w:abstractNumId w:val="52"/>
  </w:num>
  <w:num w:numId="31" w16cid:durableId="784228921">
    <w:abstractNumId w:val="33"/>
  </w:num>
  <w:num w:numId="32" w16cid:durableId="19211303">
    <w:abstractNumId w:val="39"/>
  </w:num>
  <w:num w:numId="33" w16cid:durableId="900288672">
    <w:abstractNumId w:val="32"/>
  </w:num>
  <w:num w:numId="34" w16cid:durableId="1677263323">
    <w:abstractNumId w:val="25"/>
  </w:num>
  <w:num w:numId="35" w16cid:durableId="608198493">
    <w:abstractNumId w:val="38"/>
  </w:num>
  <w:num w:numId="36" w16cid:durableId="977346349">
    <w:abstractNumId w:val="6"/>
  </w:num>
  <w:num w:numId="37" w16cid:durableId="221646756">
    <w:abstractNumId w:val="30"/>
  </w:num>
  <w:num w:numId="38" w16cid:durableId="1352337522">
    <w:abstractNumId w:val="55"/>
  </w:num>
  <w:num w:numId="39" w16cid:durableId="444741071">
    <w:abstractNumId w:val="18"/>
  </w:num>
  <w:num w:numId="40" w16cid:durableId="1972206549">
    <w:abstractNumId w:val="56"/>
  </w:num>
  <w:num w:numId="41" w16cid:durableId="908610721">
    <w:abstractNumId w:val="46"/>
  </w:num>
  <w:num w:numId="42" w16cid:durableId="7879245">
    <w:abstractNumId w:val="37"/>
  </w:num>
  <w:num w:numId="43" w16cid:durableId="1156409952">
    <w:abstractNumId w:val="28"/>
  </w:num>
  <w:num w:numId="44" w16cid:durableId="403918815">
    <w:abstractNumId w:val="41"/>
  </w:num>
  <w:num w:numId="45" w16cid:durableId="1194000916">
    <w:abstractNumId w:val="50"/>
  </w:num>
  <w:num w:numId="46" w16cid:durableId="1059478875">
    <w:abstractNumId w:val="23"/>
  </w:num>
  <w:num w:numId="47" w16cid:durableId="716397835">
    <w:abstractNumId w:val="34"/>
  </w:num>
  <w:num w:numId="48" w16cid:durableId="1346978906">
    <w:abstractNumId w:val="2"/>
  </w:num>
  <w:num w:numId="49" w16cid:durableId="1635910744">
    <w:abstractNumId w:val="49"/>
  </w:num>
  <w:num w:numId="50" w16cid:durableId="1541094751">
    <w:abstractNumId w:val="13"/>
  </w:num>
  <w:num w:numId="51" w16cid:durableId="1269964306">
    <w:abstractNumId w:val="59"/>
  </w:num>
  <w:num w:numId="52" w16cid:durableId="2128039661">
    <w:abstractNumId w:val="11"/>
  </w:num>
  <w:num w:numId="53" w16cid:durableId="2037198130">
    <w:abstractNumId w:val="14"/>
  </w:num>
  <w:num w:numId="54" w16cid:durableId="1163543460">
    <w:abstractNumId w:val="29"/>
  </w:num>
  <w:num w:numId="55" w16cid:durableId="794253538">
    <w:abstractNumId w:val="19"/>
  </w:num>
  <w:num w:numId="56" w16cid:durableId="276563731">
    <w:abstractNumId w:val="17"/>
  </w:num>
  <w:num w:numId="57" w16cid:durableId="2011978888">
    <w:abstractNumId w:val="5"/>
  </w:num>
  <w:num w:numId="58" w16cid:durableId="1951886400">
    <w:abstractNumId w:val="22"/>
  </w:num>
  <w:num w:numId="59" w16cid:durableId="1295788634">
    <w:abstractNumId w:val="60"/>
  </w:num>
  <w:num w:numId="60" w16cid:durableId="696394231">
    <w:abstractNumId w:val="26"/>
  </w:num>
  <w:num w:numId="61" w16cid:durableId="386221664">
    <w:abstractNumId w:val="8"/>
  </w:num>
  <w:num w:numId="62" w16cid:durableId="635064535">
    <w:abstractNumId w:val="1"/>
  </w:num>
  <w:num w:numId="63" w16cid:durableId="232352146">
    <w:abstractNumId w:val="53"/>
  </w:num>
  <w:num w:numId="64" w16cid:durableId="1260942076">
    <w:abstractNumId w:val="47"/>
  </w:num>
  <w:num w:numId="65" w16cid:durableId="1150437974">
    <w:abstractNumId w:val="47"/>
  </w:num>
  <w:num w:numId="66" w16cid:durableId="1033189206">
    <w:abstractNumId w:val="21"/>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ocumentProtection w:edit="readOnly" w:enforcement="1" w:cryptProviderType="rsaAES" w:cryptAlgorithmClass="hash" w:cryptAlgorithmType="typeAny" w:cryptAlgorithmSid="14" w:cryptSpinCount="100000" w:hash="+5CsR/v34lJqQlkr/LdvPb1XSM7CJf13n3csoRG43eg0tiCGeKzhN4vSNHYVEi8HcPuXsuJk5nMX4eVktcwZtg==" w:salt="ifeQsYIP/6KMlVu+A83i2Q=="/>
  <w:defaultTabStop w:val="720"/>
  <w:clickAndTypeStyle w:val="BodyText"/>
  <w:characterSpacingControl w:val="doNotCompress"/>
  <w:hdrShapeDefaults>
    <o:shapedefaults v:ext="edit" spidmax="2050"/>
  </w:hdrShapeDefaults>
  <w:footnotePr>
    <w:footnote w:id="-1"/>
    <w:footnote w:id="0"/>
    <w:footnote w:id="1"/>
  </w:footnotePr>
  <w:endnotePr>
    <w:numFmt w:val="decimal"/>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0853"/>
    <w:rsid w:val="00002C93"/>
    <w:rsid w:val="00003583"/>
    <w:rsid w:val="00003709"/>
    <w:rsid w:val="00003E3B"/>
    <w:rsid w:val="00005754"/>
    <w:rsid w:val="00005FC0"/>
    <w:rsid w:val="000100A3"/>
    <w:rsid w:val="000102D9"/>
    <w:rsid w:val="0001088E"/>
    <w:rsid w:val="0001117B"/>
    <w:rsid w:val="0001440E"/>
    <w:rsid w:val="00014D02"/>
    <w:rsid w:val="00020713"/>
    <w:rsid w:val="00021A2F"/>
    <w:rsid w:val="00024B98"/>
    <w:rsid w:val="00025B3C"/>
    <w:rsid w:val="00025C38"/>
    <w:rsid w:val="0002627E"/>
    <w:rsid w:val="00026D6C"/>
    <w:rsid w:val="00027A61"/>
    <w:rsid w:val="00030C2E"/>
    <w:rsid w:val="000319D3"/>
    <w:rsid w:val="000330D7"/>
    <w:rsid w:val="0003360A"/>
    <w:rsid w:val="000339CA"/>
    <w:rsid w:val="00034465"/>
    <w:rsid w:val="000369F8"/>
    <w:rsid w:val="0003751F"/>
    <w:rsid w:val="00037776"/>
    <w:rsid w:val="000414B5"/>
    <w:rsid w:val="00041B38"/>
    <w:rsid w:val="000422A4"/>
    <w:rsid w:val="0004413C"/>
    <w:rsid w:val="00044CEA"/>
    <w:rsid w:val="00046ACD"/>
    <w:rsid w:val="00051B1A"/>
    <w:rsid w:val="0005359F"/>
    <w:rsid w:val="00053992"/>
    <w:rsid w:val="00053A6D"/>
    <w:rsid w:val="00055779"/>
    <w:rsid w:val="000557C6"/>
    <w:rsid w:val="000557CD"/>
    <w:rsid w:val="00060853"/>
    <w:rsid w:val="00070EC3"/>
    <w:rsid w:val="00072B2F"/>
    <w:rsid w:val="00072F60"/>
    <w:rsid w:val="00074C16"/>
    <w:rsid w:val="00080760"/>
    <w:rsid w:val="00080C66"/>
    <w:rsid w:val="00081C00"/>
    <w:rsid w:val="00081DA7"/>
    <w:rsid w:val="000823BF"/>
    <w:rsid w:val="00085CF7"/>
    <w:rsid w:val="000879E3"/>
    <w:rsid w:val="00087B97"/>
    <w:rsid w:val="00087FF3"/>
    <w:rsid w:val="00091ABC"/>
    <w:rsid w:val="00091C81"/>
    <w:rsid w:val="000926DF"/>
    <w:rsid w:val="00092B26"/>
    <w:rsid w:val="00092C64"/>
    <w:rsid w:val="00094DD7"/>
    <w:rsid w:val="0009789D"/>
    <w:rsid w:val="00097C7F"/>
    <w:rsid w:val="000A0A02"/>
    <w:rsid w:val="000A1059"/>
    <w:rsid w:val="000A2F39"/>
    <w:rsid w:val="000A381D"/>
    <w:rsid w:val="000A5A67"/>
    <w:rsid w:val="000A65D2"/>
    <w:rsid w:val="000A739E"/>
    <w:rsid w:val="000A7E35"/>
    <w:rsid w:val="000B05DF"/>
    <w:rsid w:val="000B3148"/>
    <w:rsid w:val="000B4613"/>
    <w:rsid w:val="000B4831"/>
    <w:rsid w:val="000B619D"/>
    <w:rsid w:val="000B69BA"/>
    <w:rsid w:val="000B74F6"/>
    <w:rsid w:val="000B7F4B"/>
    <w:rsid w:val="000C1210"/>
    <w:rsid w:val="000C30EA"/>
    <w:rsid w:val="000C57A2"/>
    <w:rsid w:val="000C63B7"/>
    <w:rsid w:val="000C664C"/>
    <w:rsid w:val="000D2C1A"/>
    <w:rsid w:val="000D3809"/>
    <w:rsid w:val="000D3B22"/>
    <w:rsid w:val="000D5CAC"/>
    <w:rsid w:val="000D6B77"/>
    <w:rsid w:val="000D737E"/>
    <w:rsid w:val="000E015F"/>
    <w:rsid w:val="000E0434"/>
    <w:rsid w:val="000E055C"/>
    <w:rsid w:val="000E11C1"/>
    <w:rsid w:val="000E1319"/>
    <w:rsid w:val="000E7003"/>
    <w:rsid w:val="000E756D"/>
    <w:rsid w:val="000E7F19"/>
    <w:rsid w:val="000F1ADF"/>
    <w:rsid w:val="000F31B8"/>
    <w:rsid w:val="000F36A1"/>
    <w:rsid w:val="000F3FCC"/>
    <w:rsid w:val="000F689C"/>
    <w:rsid w:val="00102B6E"/>
    <w:rsid w:val="00103873"/>
    <w:rsid w:val="00105220"/>
    <w:rsid w:val="0010651F"/>
    <w:rsid w:val="00106698"/>
    <w:rsid w:val="00106CC4"/>
    <w:rsid w:val="00106D80"/>
    <w:rsid w:val="00107B0D"/>
    <w:rsid w:val="001106A0"/>
    <w:rsid w:val="00111713"/>
    <w:rsid w:val="00111775"/>
    <w:rsid w:val="0011290E"/>
    <w:rsid w:val="00112FAD"/>
    <w:rsid w:val="00114A73"/>
    <w:rsid w:val="001152E0"/>
    <w:rsid w:val="001158E0"/>
    <w:rsid w:val="00116545"/>
    <w:rsid w:val="00116563"/>
    <w:rsid w:val="00116AD4"/>
    <w:rsid w:val="00116CED"/>
    <w:rsid w:val="0011767C"/>
    <w:rsid w:val="001220D8"/>
    <w:rsid w:val="00124A38"/>
    <w:rsid w:val="001269A2"/>
    <w:rsid w:val="00126EB0"/>
    <w:rsid w:val="00127421"/>
    <w:rsid w:val="0013050C"/>
    <w:rsid w:val="00130655"/>
    <w:rsid w:val="00131292"/>
    <w:rsid w:val="0013204F"/>
    <w:rsid w:val="00132C13"/>
    <w:rsid w:val="00132C9F"/>
    <w:rsid w:val="0013421B"/>
    <w:rsid w:val="00134CAE"/>
    <w:rsid w:val="001359E7"/>
    <w:rsid w:val="00140059"/>
    <w:rsid w:val="00140DE1"/>
    <w:rsid w:val="0014157C"/>
    <w:rsid w:val="001419CE"/>
    <w:rsid w:val="00142478"/>
    <w:rsid w:val="001439D4"/>
    <w:rsid w:val="001476EF"/>
    <w:rsid w:val="001504C7"/>
    <w:rsid w:val="00150CAE"/>
    <w:rsid w:val="0015137D"/>
    <w:rsid w:val="001519E4"/>
    <w:rsid w:val="00151A0C"/>
    <w:rsid w:val="00151F0E"/>
    <w:rsid w:val="001524E1"/>
    <w:rsid w:val="001533A2"/>
    <w:rsid w:val="00155994"/>
    <w:rsid w:val="00156D6C"/>
    <w:rsid w:val="00157976"/>
    <w:rsid w:val="00160B3E"/>
    <w:rsid w:val="001627B2"/>
    <w:rsid w:val="00162808"/>
    <w:rsid w:val="00163F0B"/>
    <w:rsid w:val="00166413"/>
    <w:rsid w:val="0017068C"/>
    <w:rsid w:val="00170A80"/>
    <w:rsid w:val="00171757"/>
    <w:rsid w:val="00171F16"/>
    <w:rsid w:val="001728CA"/>
    <w:rsid w:val="00173240"/>
    <w:rsid w:val="00174347"/>
    <w:rsid w:val="001743EB"/>
    <w:rsid w:val="0017666E"/>
    <w:rsid w:val="00180847"/>
    <w:rsid w:val="00180CE8"/>
    <w:rsid w:val="00181EAF"/>
    <w:rsid w:val="0018488D"/>
    <w:rsid w:val="00186548"/>
    <w:rsid w:val="001879A8"/>
    <w:rsid w:val="00187AB5"/>
    <w:rsid w:val="0019091F"/>
    <w:rsid w:val="001909B9"/>
    <w:rsid w:val="00191B88"/>
    <w:rsid w:val="001934EB"/>
    <w:rsid w:val="00194A85"/>
    <w:rsid w:val="001A15D5"/>
    <w:rsid w:val="001A1F72"/>
    <w:rsid w:val="001A35E5"/>
    <w:rsid w:val="001A4A35"/>
    <w:rsid w:val="001A593B"/>
    <w:rsid w:val="001A628B"/>
    <w:rsid w:val="001B0B97"/>
    <w:rsid w:val="001B2E63"/>
    <w:rsid w:val="001B3EE6"/>
    <w:rsid w:val="001B44BE"/>
    <w:rsid w:val="001B455D"/>
    <w:rsid w:val="001B4F9A"/>
    <w:rsid w:val="001C07C2"/>
    <w:rsid w:val="001C0A67"/>
    <w:rsid w:val="001C1CD0"/>
    <w:rsid w:val="001C1F39"/>
    <w:rsid w:val="001C43B2"/>
    <w:rsid w:val="001C4B93"/>
    <w:rsid w:val="001C4E88"/>
    <w:rsid w:val="001D4524"/>
    <w:rsid w:val="001D4C98"/>
    <w:rsid w:val="001D754D"/>
    <w:rsid w:val="001E04AA"/>
    <w:rsid w:val="001E0611"/>
    <w:rsid w:val="001E0762"/>
    <w:rsid w:val="001E1988"/>
    <w:rsid w:val="001E2F00"/>
    <w:rsid w:val="001E3FC8"/>
    <w:rsid w:val="001E52C6"/>
    <w:rsid w:val="001E5591"/>
    <w:rsid w:val="001E79F1"/>
    <w:rsid w:val="001F010F"/>
    <w:rsid w:val="001F2010"/>
    <w:rsid w:val="001F2523"/>
    <w:rsid w:val="001F35AC"/>
    <w:rsid w:val="001F398C"/>
    <w:rsid w:val="001F485D"/>
    <w:rsid w:val="001F60EE"/>
    <w:rsid w:val="00202F93"/>
    <w:rsid w:val="002077EC"/>
    <w:rsid w:val="00214F3C"/>
    <w:rsid w:val="00216B6C"/>
    <w:rsid w:val="00216C55"/>
    <w:rsid w:val="00216D02"/>
    <w:rsid w:val="00217CEB"/>
    <w:rsid w:val="00217D92"/>
    <w:rsid w:val="00224DDA"/>
    <w:rsid w:val="00226F6E"/>
    <w:rsid w:val="00230F4A"/>
    <w:rsid w:val="00233115"/>
    <w:rsid w:val="00233579"/>
    <w:rsid w:val="00234568"/>
    <w:rsid w:val="002351BC"/>
    <w:rsid w:val="00235BE7"/>
    <w:rsid w:val="00237028"/>
    <w:rsid w:val="002376C0"/>
    <w:rsid w:val="002409AB"/>
    <w:rsid w:val="002434EF"/>
    <w:rsid w:val="0024397F"/>
    <w:rsid w:val="00244A77"/>
    <w:rsid w:val="002454F4"/>
    <w:rsid w:val="002510E3"/>
    <w:rsid w:val="0025118A"/>
    <w:rsid w:val="0025149B"/>
    <w:rsid w:val="00254215"/>
    <w:rsid w:val="00254690"/>
    <w:rsid w:val="002549D2"/>
    <w:rsid w:val="00254FCE"/>
    <w:rsid w:val="002573C8"/>
    <w:rsid w:val="002606FB"/>
    <w:rsid w:val="0026278D"/>
    <w:rsid w:val="00263966"/>
    <w:rsid w:val="00263B26"/>
    <w:rsid w:val="0026496F"/>
    <w:rsid w:val="00264ED5"/>
    <w:rsid w:val="00266388"/>
    <w:rsid w:val="002669AE"/>
    <w:rsid w:val="0026731D"/>
    <w:rsid w:val="00267565"/>
    <w:rsid w:val="00272224"/>
    <w:rsid w:val="00272278"/>
    <w:rsid w:val="002735C3"/>
    <w:rsid w:val="00273C48"/>
    <w:rsid w:val="00274BF9"/>
    <w:rsid w:val="00275F66"/>
    <w:rsid w:val="0027645B"/>
    <w:rsid w:val="002808F8"/>
    <w:rsid w:val="00281626"/>
    <w:rsid w:val="00281877"/>
    <w:rsid w:val="00281903"/>
    <w:rsid w:val="00282330"/>
    <w:rsid w:val="00290CAE"/>
    <w:rsid w:val="0029290D"/>
    <w:rsid w:val="00292F47"/>
    <w:rsid w:val="0029399F"/>
    <w:rsid w:val="002942EF"/>
    <w:rsid w:val="002951DC"/>
    <w:rsid w:val="00296621"/>
    <w:rsid w:val="00296B07"/>
    <w:rsid w:val="00296C32"/>
    <w:rsid w:val="002A2397"/>
    <w:rsid w:val="002A35FF"/>
    <w:rsid w:val="002A369A"/>
    <w:rsid w:val="002A7FC6"/>
    <w:rsid w:val="002B0358"/>
    <w:rsid w:val="002B0A86"/>
    <w:rsid w:val="002B269F"/>
    <w:rsid w:val="002B34E8"/>
    <w:rsid w:val="002B3681"/>
    <w:rsid w:val="002B3EF8"/>
    <w:rsid w:val="002B603E"/>
    <w:rsid w:val="002C4C7F"/>
    <w:rsid w:val="002C62E1"/>
    <w:rsid w:val="002C6ADB"/>
    <w:rsid w:val="002D06D6"/>
    <w:rsid w:val="002D0D5F"/>
    <w:rsid w:val="002D0EDF"/>
    <w:rsid w:val="002D167C"/>
    <w:rsid w:val="002D1C81"/>
    <w:rsid w:val="002D2364"/>
    <w:rsid w:val="002D2C2A"/>
    <w:rsid w:val="002D391F"/>
    <w:rsid w:val="002D4D94"/>
    <w:rsid w:val="002E22AC"/>
    <w:rsid w:val="002E25A0"/>
    <w:rsid w:val="002E34BF"/>
    <w:rsid w:val="002E5A39"/>
    <w:rsid w:val="002E6118"/>
    <w:rsid w:val="002E6A83"/>
    <w:rsid w:val="002F08D6"/>
    <w:rsid w:val="002F113F"/>
    <w:rsid w:val="002F206E"/>
    <w:rsid w:val="002F278D"/>
    <w:rsid w:val="002F3821"/>
    <w:rsid w:val="002F3873"/>
    <w:rsid w:val="002F39D1"/>
    <w:rsid w:val="002F3AF2"/>
    <w:rsid w:val="002F509E"/>
    <w:rsid w:val="002F5849"/>
    <w:rsid w:val="002F61B6"/>
    <w:rsid w:val="002F6787"/>
    <w:rsid w:val="003002D8"/>
    <w:rsid w:val="00301448"/>
    <w:rsid w:val="00302B5E"/>
    <w:rsid w:val="0030371B"/>
    <w:rsid w:val="003041FD"/>
    <w:rsid w:val="003044A9"/>
    <w:rsid w:val="00305D59"/>
    <w:rsid w:val="00305D69"/>
    <w:rsid w:val="00310FC9"/>
    <w:rsid w:val="003115C3"/>
    <w:rsid w:val="00312BFC"/>
    <w:rsid w:val="00313187"/>
    <w:rsid w:val="00316E09"/>
    <w:rsid w:val="00317A45"/>
    <w:rsid w:val="0032039E"/>
    <w:rsid w:val="003207C1"/>
    <w:rsid w:val="00320A84"/>
    <w:rsid w:val="00321DF2"/>
    <w:rsid w:val="0032396E"/>
    <w:rsid w:val="00331B24"/>
    <w:rsid w:val="0033658D"/>
    <w:rsid w:val="00337E80"/>
    <w:rsid w:val="003402B9"/>
    <w:rsid w:val="00340CA0"/>
    <w:rsid w:val="00341807"/>
    <w:rsid w:val="00341877"/>
    <w:rsid w:val="00341CE1"/>
    <w:rsid w:val="0034214B"/>
    <w:rsid w:val="00342B9D"/>
    <w:rsid w:val="00342BE0"/>
    <w:rsid w:val="00344850"/>
    <w:rsid w:val="00344B84"/>
    <w:rsid w:val="00345BF7"/>
    <w:rsid w:val="00346332"/>
    <w:rsid w:val="00352215"/>
    <w:rsid w:val="00353985"/>
    <w:rsid w:val="00355312"/>
    <w:rsid w:val="00361E6B"/>
    <w:rsid w:val="00362F86"/>
    <w:rsid w:val="0036379C"/>
    <w:rsid w:val="003637E7"/>
    <w:rsid w:val="00364485"/>
    <w:rsid w:val="00364F93"/>
    <w:rsid w:val="003656D5"/>
    <w:rsid w:val="003668EE"/>
    <w:rsid w:val="00367A43"/>
    <w:rsid w:val="003704AA"/>
    <w:rsid w:val="003707FD"/>
    <w:rsid w:val="003718B4"/>
    <w:rsid w:val="003732D5"/>
    <w:rsid w:val="00374C56"/>
    <w:rsid w:val="003769A1"/>
    <w:rsid w:val="00380906"/>
    <w:rsid w:val="00380B7F"/>
    <w:rsid w:val="00383FF4"/>
    <w:rsid w:val="00384799"/>
    <w:rsid w:val="00384FC9"/>
    <w:rsid w:val="0038503D"/>
    <w:rsid w:val="0038513D"/>
    <w:rsid w:val="00386418"/>
    <w:rsid w:val="00392092"/>
    <w:rsid w:val="00393908"/>
    <w:rsid w:val="00394652"/>
    <w:rsid w:val="003963C6"/>
    <w:rsid w:val="003A0362"/>
    <w:rsid w:val="003A04BC"/>
    <w:rsid w:val="003A0E8F"/>
    <w:rsid w:val="003A153B"/>
    <w:rsid w:val="003A2B4F"/>
    <w:rsid w:val="003A3C20"/>
    <w:rsid w:val="003A44F5"/>
    <w:rsid w:val="003A533D"/>
    <w:rsid w:val="003B0508"/>
    <w:rsid w:val="003B11A1"/>
    <w:rsid w:val="003B19B3"/>
    <w:rsid w:val="003B3C46"/>
    <w:rsid w:val="003B5983"/>
    <w:rsid w:val="003B5DBC"/>
    <w:rsid w:val="003C0215"/>
    <w:rsid w:val="003C13FF"/>
    <w:rsid w:val="003C2DF6"/>
    <w:rsid w:val="003C3E43"/>
    <w:rsid w:val="003C4C91"/>
    <w:rsid w:val="003C68CF"/>
    <w:rsid w:val="003C6DDB"/>
    <w:rsid w:val="003C6E18"/>
    <w:rsid w:val="003D0829"/>
    <w:rsid w:val="003D121F"/>
    <w:rsid w:val="003D301A"/>
    <w:rsid w:val="003D3225"/>
    <w:rsid w:val="003D3C17"/>
    <w:rsid w:val="003D3D47"/>
    <w:rsid w:val="003E1FC0"/>
    <w:rsid w:val="003E7427"/>
    <w:rsid w:val="003E7B8D"/>
    <w:rsid w:val="003F1B34"/>
    <w:rsid w:val="003F443B"/>
    <w:rsid w:val="003F5577"/>
    <w:rsid w:val="003F5A8C"/>
    <w:rsid w:val="003F66CB"/>
    <w:rsid w:val="003F71FE"/>
    <w:rsid w:val="00400278"/>
    <w:rsid w:val="00401172"/>
    <w:rsid w:val="004015F7"/>
    <w:rsid w:val="00403322"/>
    <w:rsid w:val="00403610"/>
    <w:rsid w:val="00404B96"/>
    <w:rsid w:val="00404D96"/>
    <w:rsid w:val="00407FEC"/>
    <w:rsid w:val="0041074F"/>
    <w:rsid w:val="004116A7"/>
    <w:rsid w:val="004127CC"/>
    <w:rsid w:val="004131BC"/>
    <w:rsid w:val="00414A53"/>
    <w:rsid w:val="00414BBA"/>
    <w:rsid w:val="0041511C"/>
    <w:rsid w:val="004172AC"/>
    <w:rsid w:val="00420FAE"/>
    <w:rsid w:val="00422675"/>
    <w:rsid w:val="00422CD0"/>
    <w:rsid w:val="0042335E"/>
    <w:rsid w:val="004255B6"/>
    <w:rsid w:val="00425CBC"/>
    <w:rsid w:val="00426EE8"/>
    <w:rsid w:val="0042760B"/>
    <w:rsid w:val="00430DD9"/>
    <w:rsid w:val="004313CA"/>
    <w:rsid w:val="00431DE2"/>
    <w:rsid w:val="00432DB3"/>
    <w:rsid w:val="0043431C"/>
    <w:rsid w:val="00435056"/>
    <w:rsid w:val="004375A9"/>
    <w:rsid w:val="00441244"/>
    <w:rsid w:val="00441AD7"/>
    <w:rsid w:val="00442753"/>
    <w:rsid w:val="0044279F"/>
    <w:rsid w:val="00442AD5"/>
    <w:rsid w:val="00444DAD"/>
    <w:rsid w:val="00446065"/>
    <w:rsid w:val="00446E19"/>
    <w:rsid w:val="00446E28"/>
    <w:rsid w:val="00447CF6"/>
    <w:rsid w:val="00450F5A"/>
    <w:rsid w:val="00453949"/>
    <w:rsid w:val="00453F7C"/>
    <w:rsid w:val="0045569A"/>
    <w:rsid w:val="00455738"/>
    <w:rsid w:val="004558E7"/>
    <w:rsid w:val="00455CD8"/>
    <w:rsid w:val="004561DF"/>
    <w:rsid w:val="004567FF"/>
    <w:rsid w:val="00456C2D"/>
    <w:rsid w:val="00460F74"/>
    <w:rsid w:val="00464235"/>
    <w:rsid w:val="00465194"/>
    <w:rsid w:val="00470991"/>
    <w:rsid w:val="004712B1"/>
    <w:rsid w:val="00472969"/>
    <w:rsid w:val="00472B80"/>
    <w:rsid w:val="0047302D"/>
    <w:rsid w:val="00473877"/>
    <w:rsid w:val="00473FB7"/>
    <w:rsid w:val="00474864"/>
    <w:rsid w:val="00475460"/>
    <w:rsid w:val="00475A28"/>
    <w:rsid w:val="004766D2"/>
    <w:rsid w:val="00480834"/>
    <w:rsid w:val="00481165"/>
    <w:rsid w:val="00482E74"/>
    <w:rsid w:val="00483683"/>
    <w:rsid w:val="0048376E"/>
    <w:rsid w:val="00483979"/>
    <w:rsid w:val="00483FF3"/>
    <w:rsid w:val="00486745"/>
    <w:rsid w:val="00492842"/>
    <w:rsid w:val="00492E77"/>
    <w:rsid w:val="00495D51"/>
    <w:rsid w:val="004964CC"/>
    <w:rsid w:val="00496E18"/>
    <w:rsid w:val="004A257E"/>
    <w:rsid w:val="004A4836"/>
    <w:rsid w:val="004A711A"/>
    <w:rsid w:val="004A715D"/>
    <w:rsid w:val="004A7DBB"/>
    <w:rsid w:val="004A7EA0"/>
    <w:rsid w:val="004B0625"/>
    <w:rsid w:val="004B0AF6"/>
    <w:rsid w:val="004B13EA"/>
    <w:rsid w:val="004B29B9"/>
    <w:rsid w:val="004B2F86"/>
    <w:rsid w:val="004B3B66"/>
    <w:rsid w:val="004C02EC"/>
    <w:rsid w:val="004C0AA2"/>
    <w:rsid w:val="004C105E"/>
    <w:rsid w:val="004C1A21"/>
    <w:rsid w:val="004C1FE7"/>
    <w:rsid w:val="004C35B2"/>
    <w:rsid w:val="004C682B"/>
    <w:rsid w:val="004C7432"/>
    <w:rsid w:val="004C75EC"/>
    <w:rsid w:val="004C7798"/>
    <w:rsid w:val="004C7EF9"/>
    <w:rsid w:val="004D3942"/>
    <w:rsid w:val="004D4D99"/>
    <w:rsid w:val="004D69C2"/>
    <w:rsid w:val="004D6C84"/>
    <w:rsid w:val="004D7F18"/>
    <w:rsid w:val="004E0A64"/>
    <w:rsid w:val="004E35A1"/>
    <w:rsid w:val="004E420E"/>
    <w:rsid w:val="004E5A0B"/>
    <w:rsid w:val="004E6A3A"/>
    <w:rsid w:val="004E78A2"/>
    <w:rsid w:val="004F20F4"/>
    <w:rsid w:val="004F36F7"/>
    <w:rsid w:val="004F38DE"/>
    <w:rsid w:val="004F47F5"/>
    <w:rsid w:val="004F4880"/>
    <w:rsid w:val="004F668A"/>
    <w:rsid w:val="004F6D4C"/>
    <w:rsid w:val="004F730E"/>
    <w:rsid w:val="004F77CB"/>
    <w:rsid w:val="0050049D"/>
    <w:rsid w:val="00500B67"/>
    <w:rsid w:val="00501683"/>
    <w:rsid w:val="00502574"/>
    <w:rsid w:val="00503522"/>
    <w:rsid w:val="00505408"/>
    <w:rsid w:val="00512F11"/>
    <w:rsid w:val="0051312D"/>
    <w:rsid w:val="005142CF"/>
    <w:rsid w:val="005152D9"/>
    <w:rsid w:val="00520735"/>
    <w:rsid w:val="005215D9"/>
    <w:rsid w:val="005218C6"/>
    <w:rsid w:val="00524848"/>
    <w:rsid w:val="00527388"/>
    <w:rsid w:val="00527689"/>
    <w:rsid w:val="00527EBB"/>
    <w:rsid w:val="00530B13"/>
    <w:rsid w:val="00531280"/>
    <w:rsid w:val="00531EBE"/>
    <w:rsid w:val="0053238E"/>
    <w:rsid w:val="00532E15"/>
    <w:rsid w:val="00533757"/>
    <w:rsid w:val="00533D61"/>
    <w:rsid w:val="005356EE"/>
    <w:rsid w:val="00535C1B"/>
    <w:rsid w:val="005435A9"/>
    <w:rsid w:val="00543926"/>
    <w:rsid w:val="00543E42"/>
    <w:rsid w:val="00543E44"/>
    <w:rsid w:val="00544E33"/>
    <w:rsid w:val="00547627"/>
    <w:rsid w:val="00547B57"/>
    <w:rsid w:val="00550461"/>
    <w:rsid w:val="00550F70"/>
    <w:rsid w:val="0055107D"/>
    <w:rsid w:val="00551B17"/>
    <w:rsid w:val="00551F5A"/>
    <w:rsid w:val="005524D9"/>
    <w:rsid w:val="0055273C"/>
    <w:rsid w:val="005537CD"/>
    <w:rsid w:val="00554178"/>
    <w:rsid w:val="00557ABF"/>
    <w:rsid w:val="00561D86"/>
    <w:rsid w:val="00561EDF"/>
    <w:rsid w:val="0056488A"/>
    <w:rsid w:val="00566274"/>
    <w:rsid w:val="005665AE"/>
    <w:rsid w:val="005668BE"/>
    <w:rsid w:val="00567D3C"/>
    <w:rsid w:val="00572C4C"/>
    <w:rsid w:val="005739A5"/>
    <w:rsid w:val="005745F0"/>
    <w:rsid w:val="00576A0F"/>
    <w:rsid w:val="00576F5B"/>
    <w:rsid w:val="00576FCB"/>
    <w:rsid w:val="0057714C"/>
    <w:rsid w:val="00577376"/>
    <w:rsid w:val="00580969"/>
    <w:rsid w:val="00582468"/>
    <w:rsid w:val="00583BDE"/>
    <w:rsid w:val="00583F3E"/>
    <w:rsid w:val="00584105"/>
    <w:rsid w:val="0058430A"/>
    <w:rsid w:val="00586CF7"/>
    <w:rsid w:val="00591292"/>
    <w:rsid w:val="0059207E"/>
    <w:rsid w:val="00594222"/>
    <w:rsid w:val="00594603"/>
    <w:rsid w:val="00594DAC"/>
    <w:rsid w:val="00596533"/>
    <w:rsid w:val="005967DC"/>
    <w:rsid w:val="00597ED3"/>
    <w:rsid w:val="005A0142"/>
    <w:rsid w:val="005A0305"/>
    <w:rsid w:val="005A0798"/>
    <w:rsid w:val="005A1041"/>
    <w:rsid w:val="005A12E4"/>
    <w:rsid w:val="005A182A"/>
    <w:rsid w:val="005A1E4E"/>
    <w:rsid w:val="005A219D"/>
    <w:rsid w:val="005A2C8C"/>
    <w:rsid w:val="005A3365"/>
    <w:rsid w:val="005A3D00"/>
    <w:rsid w:val="005A3D3C"/>
    <w:rsid w:val="005A4D28"/>
    <w:rsid w:val="005A7D08"/>
    <w:rsid w:val="005B0170"/>
    <w:rsid w:val="005B18C7"/>
    <w:rsid w:val="005B1EA5"/>
    <w:rsid w:val="005B1FE5"/>
    <w:rsid w:val="005B2F8C"/>
    <w:rsid w:val="005B3263"/>
    <w:rsid w:val="005B4302"/>
    <w:rsid w:val="005B5339"/>
    <w:rsid w:val="005B6412"/>
    <w:rsid w:val="005B6F37"/>
    <w:rsid w:val="005C0FEB"/>
    <w:rsid w:val="005C19DF"/>
    <w:rsid w:val="005C1C4F"/>
    <w:rsid w:val="005C28C1"/>
    <w:rsid w:val="005C319A"/>
    <w:rsid w:val="005C4B3E"/>
    <w:rsid w:val="005C5152"/>
    <w:rsid w:val="005C5484"/>
    <w:rsid w:val="005C654C"/>
    <w:rsid w:val="005C7C60"/>
    <w:rsid w:val="005D01E5"/>
    <w:rsid w:val="005D1333"/>
    <w:rsid w:val="005D28D4"/>
    <w:rsid w:val="005D32DA"/>
    <w:rsid w:val="005D4920"/>
    <w:rsid w:val="005D4AA1"/>
    <w:rsid w:val="005D66AB"/>
    <w:rsid w:val="005D7D80"/>
    <w:rsid w:val="005E080B"/>
    <w:rsid w:val="005E133C"/>
    <w:rsid w:val="005E1EE8"/>
    <w:rsid w:val="005E5E73"/>
    <w:rsid w:val="005E5EC0"/>
    <w:rsid w:val="005F1786"/>
    <w:rsid w:val="005F252B"/>
    <w:rsid w:val="005F3452"/>
    <w:rsid w:val="005F428C"/>
    <w:rsid w:val="005F4D0E"/>
    <w:rsid w:val="005F4E00"/>
    <w:rsid w:val="005F4E21"/>
    <w:rsid w:val="005F52C2"/>
    <w:rsid w:val="005F7DC8"/>
    <w:rsid w:val="00600C39"/>
    <w:rsid w:val="00604066"/>
    <w:rsid w:val="00604F1E"/>
    <w:rsid w:val="00607323"/>
    <w:rsid w:val="00607F1A"/>
    <w:rsid w:val="00610001"/>
    <w:rsid w:val="006104C0"/>
    <w:rsid w:val="00613A4E"/>
    <w:rsid w:val="00614C8E"/>
    <w:rsid w:val="006156FF"/>
    <w:rsid w:val="0062036B"/>
    <w:rsid w:val="006209CA"/>
    <w:rsid w:val="00625C3F"/>
    <w:rsid w:val="0062664C"/>
    <w:rsid w:val="006266C6"/>
    <w:rsid w:val="00630C19"/>
    <w:rsid w:val="00631775"/>
    <w:rsid w:val="00631E73"/>
    <w:rsid w:val="006332A9"/>
    <w:rsid w:val="006334D8"/>
    <w:rsid w:val="00634883"/>
    <w:rsid w:val="0063593D"/>
    <w:rsid w:val="00635A04"/>
    <w:rsid w:val="00636031"/>
    <w:rsid w:val="00640D34"/>
    <w:rsid w:val="00641B27"/>
    <w:rsid w:val="0064477A"/>
    <w:rsid w:val="00645F2D"/>
    <w:rsid w:val="006465D3"/>
    <w:rsid w:val="00646F75"/>
    <w:rsid w:val="006501E0"/>
    <w:rsid w:val="006520C0"/>
    <w:rsid w:val="0065300A"/>
    <w:rsid w:val="00653A26"/>
    <w:rsid w:val="006559EA"/>
    <w:rsid w:val="00657AE4"/>
    <w:rsid w:val="0066005B"/>
    <w:rsid w:val="00663F6B"/>
    <w:rsid w:val="006667FD"/>
    <w:rsid w:val="00671864"/>
    <w:rsid w:val="006719E0"/>
    <w:rsid w:val="00674361"/>
    <w:rsid w:val="00676178"/>
    <w:rsid w:val="0067638B"/>
    <w:rsid w:val="00677741"/>
    <w:rsid w:val="0068068A"/>
    <w:rsid w:val="006817D7"/>
    <w:rsid w:val="00683C09"/>
    <w:rsid w:val="00683FE5"/>
    <w:rsid w:val="00687BA2"/>
    <w:rsid w:val="006902D1"/>
    <w:rsid w:val="006911F3"/>
    <w:rsid w:val="00693A3C"/>
    <w:rsid w:val="00693BE4"/>
    <w:rsid w:val="0069775F"/>
    <w:rsid w:val="00697E8A"/>
    <w:rsid w:val="006A013A"/>
    <w:rsid w:val="006A0AF0"/>
    <w:rsid w:val="006A10E4"/>
    <w:rsid w:val="006A288E"/>
    <w:rsid w:val="006A2F1E"/>
    <w:rsid w:val="006A363B"/>
    <w:rsid w:val="006A53BA"/>
    <w:rsid w:val="006B0719"/>
    <w:rsid w:val="006B2EC5"/>
    <w:rsid w:val="006B3040"/>
    <w:rsid w:val="006B318B"/>
    <w:rsid w:val="006B43B3"/>
    <w:rsid w:val="006B632F"/>
    <w:rsid w:val="006B6F3B"/>
    <w:rsid w:val="006C01A6"/>
    <w:rsid w:val="006C0D4E"/>
    <w:rsid w:val="006C1ACA"/>
    <w:rsid w:val="006C2468"/>
    <w:rsid w:val="006C28D9"/>
    <w:rsid w:val="006C3651"/>
    <w:rsid w:val="006C4799"/>
    <w:rsid w:val="006C5969"/>
    <w:rsid w:val="006C5EDD"/>
    <w:rsid w:val="006C5F6F"/>
    <w:rsid w:val="006C6112"/>
    <w:rsid w:val="006C6EEC"/>
    <w:rsid w:val="006D0573"/>
    <w:rsid w:val="006D0D78"/>
    <w:rsid w:val="006D1744"/>
    <w:rsid w:val="006D2F45"/>
    <w:rsid w:val="006D3D51"/>
    <w:rsid w:val="006D4402"/>
    <w:rsid w:val="006D4E09"/>
    <w:rsid w:val="006D5DEF"/>
    <w:rsid w:val="006E00E3"/>
    <w:rsid w:val="006E052E"/>
    <w:rsid w:val="006E146F"/>
    <w:rsid w:val="006E1EF3"/>
    <w:rsid w:val="006E3B69"/>
    <w:rsid w:val="006E4A18"/>
    <w:rsid w:val="006E4B2F"/>
    <w:rsid w:val="006E4DEE"/>
    <w:rsid w:val="006E50FF"/>
    <w:rsid w:val="006E5998"/>
    <w:rsid w:val="006E76C9"/>
    <w:rsid w:val="006E79D0"/>
    <w:rsid w:val="006E79DB"/>
    <w:rsid w:val="006F05BE"/>
    <w:rsid w:val="006F14B6"/>
    <w:rsid w:val="006F17A1"/>
    <w:rsid w:val="006F1C9E"/>
    <w:rsid w:val="006F1FE3"/>
    <w:rsid w:val="006F2BCD"/>
    <w:rsid w:val="006F2F1E"/>
    <w:rsid w:val="006F44BD"/>
    <w:rsid w:val="006F59E2"/>
    <w:rsid w:val="006F7478"/>
    <w:rsid w:val="006F77D2"/>
    <w:rsid w:val="007046A7"/>
    <w:rsid w:val="00704C01"/>
    <w:rsid w:val="0070590E"/>
    <w:rsid w:val="00705BED"/>
    <w:rsid w:val="00705F2B"/>
    <w:rsid w:val="00707B45"/>
    <w:rsid w:val="00707CA0"/>
    <w:rsid w:val="00712929"/>
    <w:rsid w:val="007132D0"/>
    <w:rsid w:val="00715166"/>
    <w:rsid w:val="00715276"/>
    <w:rsid w:val="00715F9E"/>
    <w:rsid w:val="00716A6F"/>
    <w:rsid w:val="00716C59"/>
    <w:rsid w:val="0072008C"/>
    <w:rsid w:val="00720ADC"/>
    <w:rsid w:val="0072140E"/>
    <w:rsid w:val="007220BB"/>
    <w:rsid w:val="00725FA2"/>
    <w:rsid w:val="00726618"/>
    <w:rsid w:val="007267B7"/>
    <w:rsid w:val="007274C0"/>
    <w:rsid w:val="007332A7"/>
    <w:rsid w:val="0073461F"/>
    <w:rsid w:val="00736CB7"/>
    <w:rsid w:val="0073746B"/>
    <w:rsid w:val="00740467"/>
    <w:rsid w:val="007405AE"/>
    <w:rsid w:val="00742F66"/>
    <w:rsid w:val="00743DAD"/>
    <w:rsid w:val="007465BC"/>
    <w:rsid w:val="00747797"/>
    <w:rsid w:val="00747A4E"/>
    <w:rsid w:val="0075091E"/>
    <w:rsid w:val="007516CF"/>
    <w:rsid w:val="007527DA"/>
    <w:rsid w:val="00752AE1"/>
    <w:rsid w:val="00753703"/>
    <w:rsid w:val="0075680D"/>
    <w:rsid w:val="0076281D"/>
    <w:rsid w:val="0076385B"/>
    <w:rsid w:val="00763C24"/>
    <w:rsid w:val="00764920"/>
    <w:rsid w:val="007660C3"/>
    <w:rsid w:val="00766510"/>
    <w:rsid w:val="007673EB"/>
    <w:rsid w:val="007712A6"/>
    <w:rsid w:val="007725E4"/>
    <w:rsid w:val="00773685"/>
    <w:rsid w:val="00773A93"/>
    <w:rsid w:val="00773B1E"/>
    <w:rsid w:val="00774FD8"/>
    <w:rsid w:val="0077660B"/>
    <w:rsid w:val="007772E3"/>
    <w:rsid w:val="00780E79"/>
    <w:rsid w:val="00782442"/>
    <w:rsid w:val="00783D38"/>
    <w:rsid w:val="007843E1"/>
    <w:rsid w:val="007851C8"/>
    <w:rsid w:val="00785FBC"/>
    <w:rsid w:val="007878A2"/>
    <w:rsid w:val="00790147"/>
    <w:rsid w:val="007923BA"/>
    <w:rsid w:val="00793E01"/>
    <w:rsid w:val="007946CB"/>
    <w:rsid w:val="007960BE"/>
    <w:rsid w:val="0079647B"/>
    <w:rsid w:val="007A121C"/>
    <w:rsid w:val="007A2062"/>
    <w:rsid w:val="007A2961"/>
    <w:rsid w:val="007A40B2"/>
    <w:rsid w:val="007A4F72"/>
    <w:rsid w:val="007A55F1"/>
    <w:rsid w:val="007A72FE"/>
    <w:rsid w:val="007A7845"/>
    <w:rsid w:val="007A7FA3"/>
    <w:rsid w:val="007B0E6A"/>
    <w:rsid w:val="007B1819"/>
    <w:rsid w:val="007B24EC"/>
    <w:rsid w:val="007B39D3"/>
    <w:rsid w:val="007B41DA"/>
    <w:rsid w:val="007B539E"/>
    <w:rsid w:val="007B5A48"/>
    <w:rsid w:val="007B75E6"/>
    <w:rsid w:val="007C1E72"/>
    <w:rsid w:val="007C23CA"/>
    <w:rsid w:val="007C2723"/>
    <w:rsid w:val="007C3DD0"/>
    <w:rsid w:val="007C43C3"/>
    <w:rsid w:val="007C691B"/>
    <w:rsid w:val="007C7947"/>
    <w:rsid w:val="007D0118"/>
    <w:rsid w:val="007D0729"/>
    <w:rsid w:val="007D106B"/>
    <w:rsid w:val="007D1163"/>
    <w:rsid w:val="007D1591"/>
    <w:rsid w:val="007D197C"/>
    <w:rsid w:val="007D2136"/>
    <w:rsid w:val="007D385B"/>
    <w:rsid w:val="007D456C"/>
    <w:rsid w:val="007D4B09"/>
    <w:rsid w:val="007D56E1"/>
    <w:rsid w:val="007D6464"/>
    <w:rsid w:val="007E0AFD"/>
    <w:rsid w:val="007E0DD4"/>
    <w:rsid w:val="007E2D2C"/>
    <w:rsid w:val="007E2FD0"/>
    <w:rsid w:val="007E31BD"/>
    <w:rsid w:val="007E51BF"/>
    <w:rsid w:val="007E7AE5"/>
    <w:rsid w:val="007F0613"/>
    <w:rsid w:val="007F16B5"/>
    <w:rsid w:val="007F2CB8"/>
    <w:rsid w:val="007F3714"/>
    <w:rsid w:val="007F4CE0"/>
    <w:rsid w:val="007F4FFE"/>
    <w:rsid w:val="007F5D9C"/>
    <w:rsid w:val="007F6D8A"/>
    <w:rsid w:val="008004CB"/>
    <w:rsid w:val="00802606"/>
    <w:rsid w:val="00803B8F"/>
    <w:rsid w:val="0080402D"/>
    <w:rsid w:val="008040E8"/>
    <w:rsid w:val="00805A90"/>
    <w:rsid w:val="00811222"/>
    <w:rsid w:val="00811463"/>
    <w:rsid w:val="00811706"/>
    <w:rsid w:val="00811D2D"/>
    <w:rsid w:val="00813A41"/>
    <w:rsid w:val="00813BD9"/>
    <w:rsid w:val="00814D02"/>
    <w:rsid w:val="0081620F"/>
    <w:rsid w:val="008163D1"/>
    <w:rsid w:val="008202CD"/>
    <w:rsid w:val="008224CB"/>
    <w:rsid w:val="00822583"/>
    <w:rsid w:val="00822EAC"/>
    <w:rsid w:val="00823A73"/>
    <w:rsid w:val="008249F2"/>
    <w:rsid w:val="00825888"/>
    <w:rsid w:val="008274FF"/>
    <w:rsid w:val="00827B3A"/>
    <w:rsid w:val="00830978"/>
    <w:rsid w:val="00834292"/>
    <w:rsid w:val="0083616F"/>
    <w:rsid w:val="00836418"/>
    <w:rsid w:val="00836AED"/>
    <w:rsid w:val="00836B1D"/>
    <w:rsid w:val="0083709C"/>
    <w:rsid w:val="00837243"/>
    <w:rsid w:val="00841E86"/>
    <w:rsid w:val="00842DCC"/>
    <w:rsid w:val="0084309C"/>
    <w:rsid w:val="008433D6"/>
    <w:rsid w:val="00843A4A"/>
    <w:rsid w:val="00843C34"/>
    <w:rsid w:val="00846772"/>
    <w:rsid w:val="00852196"/>
    <w:rsid w:val="008538C3"/>
    <w:rsid w:val="00853996"/>
    <w:rsid w:val="00854F8F"/>
    <w:rsid w:val="00855481"/>
    <w:rsid w:val="0086090B"/>
    <w:rsid w:val="008616EB"/>
    <w:rsid w:val="00863A00"/>
    <w:rsid w:val="0086415E"/>
    <w:rsid w:val="00864B67"/>
    <w:rsid w:val="0086637E"/>
    <w:rsid w:val="0086657D"/>
    <w:rsid w:val="008714B2"/>
    <w:rsid w:val="008741EF"/>
    <w:rsid w:val="00875A1E"/>
    <w:rsid w:val="00875BD9"/>
    <w:rsid w:val="008773F5"/>
    <w:rsid w:val="00881C84"/>
    <w:rsid w:val="00881E5F"/>
    <w:rsid w:val="0088255F"/>
    <w:rsid w:val="00883F82"/>
    <w:rsid w:val="00885459"/>
    <w:rsid w:val="00885562"/>
    <w:rsid w:val="00886D55"/>
    <w:rsid w:val="00887D38"/>
    <w:rsid w:val="008907C0"/>
    <w:rsid w:val="008925FD"/>
    <w:rsid w:val="00893811"/>
    <w:rsid w:val="00894241"/>
    <w:rsid w:val="0089425F"/>
    <w:rsid w:val="008A1AC5"/>
    <w:rsid w:val="008A2F7F"/>
    <w:rsid w:val="008A5F29"/>
    <w:rsid w:val="008A6507"/>
    <w:rsid w:val="008A6CDE"/>
    <w:rsid w:val="008A77A7"/>
    <w:rsid w:val="008B023F"/>
    <w:rsid w:val="008B0346"/>
    <w:rsid w:val="008B0651"/>
    <w:rsid w:val="008B0B7F"/>
    <w:rsid w:val="008B35C6"/>
    <w:rsid w:val="008B4255"/>
    <w:rsid w:val="008B6574"/>
    <w:rsid w:val="008B6FE9"/>
    <w:rsid w:val="008C2832"/>
    <w:rsid w:val="008C2835"/>
    <w:rsid w:val="008C398D"/>
    <w:rsid w:val="008C3EB2"/>
    <w:rsid w:val="008C5315"/>
    <w:rsid w:val="008C5925"/>
    <w:rsid w:val="008C7387"/>
    <w:rsid w:val="008C7DF0"/>
    <w:rsid w:val="008D1E5B"/>
    <w:rsid w:val="008D4171"/>
    <w:rsid w:val="008D4F2C"/>
    <w:rsid w:val="008D4F8A"/>
    <w:rsid w:val="008D5F35"/>
    <w:rsid w:val="008D6599"/>
    <w:rsid w:val="008D7866"/>
    <w:rsid w:val="008D796F"/>
    <w:rsid w:val="008E262F"/>
    <w:rsid w:val="008E2D3E"/>
    <w:rsid w:val="008E4505"/>
    <w:rsid w:val="008E4E60"/>
    <w:rsid w:val="008E6386"/>
    <w:rsid w:val="008E6BA5"/>
    <w:rsid w:val="008F0B7B"/>
    <w:rsid w:val="008F3505"/>
    <w:rsid w:val="008F480E"/>
    <w:rsid w:val="008F671A"/>
    <w:rsid w:val="008F7A35"/>
    <w:rsid w:val="009022C6"/>
    <w:rsid w:val="009025DD"/>
    <w:rsid w:val="00902978"/>
    <w:rsid w:val="00902B84"/>
    <w:rsid w:val="00904CC5"/>
    <w:rsid w:val="00904FF4"/>
    <w:rsid w:val="00905970"/>
    <w:rsid w:val="0091046A"/>
    <w:rsid w:val="0091127D"/>
    <w:rsid w:val="00912AB7"/>
    <w:rsid w:val="00916091"/>
    <w:rsid w:val="00921FD3"/>
    <w:rsid w:val="009220D7"/>
    <w:rsid w:val="00924741"/>
    <w:rsid w:val="00927131"/>
    <w:rsid w:val="009307F0"/>
    <w:rsid w:val="0093194B"/>
    <w:rsid w:val="00931AA0"/>
    <w:rsid w:val="00940A26"/>
    <w:rsid w:val="00942281"/>
    <w:rsid w:val="00942939"/>
    <w:rsid w:val="00946C9F"/>
    <w:rsid w:val="00947713"/>
    <w:rsid w:val="00951D4E"/>
    <w:rsid w:val="00951F3C"/>
    <w:rsid w:val="00952DA8"/>
    <w:rsid w:val="00953272"/>
    <w:rsid w:val="009532AE"/>
    <w:rsid w:val="0095388F"/>
    <w:rsid w:val="009567FC"/>
    <w:rsid w:val="00957247"/>
    <w:rsid w:val="009572D2"/>
    <w:rsid w:val="00957643"/>
    <w:rsid w:val="009576F3"/>
    <w:rsid w:val="00957BDD"/>
    <w:rsid w:val="00957C0D"/>
    <w:rsid w:val="00960C28"/>
    <w:rsid w:val="00961EC6"/>
    <w:rsid w:val="00962715"/>
    <w:rsid w:val="00962DB3"/>
    <w:rsid w:val="00966A53"/>
    <w:rsid w:val="0096793D"/>
    <w:rsid w:val="009705F9"/>
    <w:rsid w:val="00971766"/>
    <w:rsid w:val="009733D8"/>
    <w:rsid w:val="00974F60"/>
    <w:rsid w:val="00975767"/>
    <w:rsid w:val="00976765"/>
    <w:rsid w:val="00977E26"/>
    <w:rsid w:val="00983251"/>
    <w:rsid w:val="00983DB2"/>
    <w:rsid w:val="00985F2E"/>
    <w:rsid w:val="0098628E"/>
    <w:rsid w:val="00986B43"/>
    <w:rsid w:val="009926C0"/>
    <w:rsid w:val="00992D5C"/>
    <w:rsid w:val="00994AF2"/>
    <w:rsid w:val="0099584A"/>
    <w:rsid w:val="009975CB"/>
    <w:rsid w:val="009977D9"/>
    <w:rsid w:val="009A21CF"/>
    <w:rsid w:val="009A31A2"/>
    <w:rsid w:val="009A46B3"/>
    <w:rsid w:val="009A49C9"/>
    <w:rsid w:val="009B0C2F"/>
    <w:rsid w:val="009B275D"/>
    <w:rsid w:val="009B30B2"/>
    <w:rsid w:val="009B3640"/>
    <w:rsid w:val="009B7352"/>
    <w:rsid w:val="009B7B13"/>
    <w:rsid w:val="009C2DB2"/>
    <w:rsid w:val="009C4C27"/>
    <w:rsid w:val="009C5843"/>
    <w:rsid w:val="009C6836"/>
    <w:rsid w:val="009C74BF"/>
    <w:rsid w:val="009C74D6"/>
    <w:rsid w:val="009D0CCF"/>
    <w:rsid w:val="009D0CDB"/>
    <w:rsid w:val="009D11D8"/>
    <w:rsid w:val="009D1797"/>
    <w:rsid w:val="009D20C5"/>
    <w:rsid w:val="009D2BD1"/>
    <w:rsid w:val="009D300B"/>
    <w:rsid w:val="009D7680"/>
    <w:rsid w:val="009E218E"/>
    <w:rsid w:val="009E6F20"/>
    <w:rsid w:val="009E7376"/>
    <w:rsid w:val="009F02BA"/>
    <w:rsid w:val="009F2C0F"/>
    <w:rsid w:val="009F3E96"/>
    <w:rsid w:val="009F48F0"/>
    <w:rsid w:val="009F5208"/>
    <w:rsid w:val="009F5FF6"/>
    <w:rsid w:val="009F6057"/>
    <w:rsid w:val="009F655A"/>
    <w:rsid w:val="009F76BC"/>
    <w:rsid w:val="00A000C2"/>
    <w:rsid w:val="00A00CBC"/>
    <w:rsid w:val="00A014FE"/>
    <w:rsid w:val="00A018D0"/>
    <w:rsid w:val="00A028DB"/>
    <w:rsid w:val="00A0350E"/>
    <w:rsid w:val="00A0356E"/>
    <w:rsid w:val="00A03662"/>
    <w:rsid w:val="00A05561"/>
    <w:rsid w:val="00A11126"/>
    <w:rsid w:val="00A1127E"/>
    <w:rsid w:val="00A1262B"/>
    <w:rsid w:val="00A12842"/>
    <w:rsid w:val="00A1373B"/>
    <w:rsid w:val="00A13BC4"/>
    <w:rsid w:val="00A13E6B"/>
    <w:rsid w:val="00A14404"/>
    <w:rsid w:val="00A150BB"/>
    <w:rsid w:val="00A1575C"/>
    <w:rsid w:val="00A17317"/>
    <w:rsid w:val="00A20D01"/>
    <w:rsid w:val="00A21E44"/>
    <w:rsid w:val="00A21F97"/>
    <w:rsid w:val="00A25793"/>
    <w:rsid w:val="00A25A48"/>
    <w:rsid w:val="00A263B1"/>
    <w:rsid w:val="00A27DA4"/>
    <w:rsid w:val="00A308AA"/>
    <w:rsid w:val="00A31367"/>
    <w:rsid w:val="00A31C36"/>
    <w:rsid w:val="00A3217B"/>
    <w:rsid w:val="00A330B9"/>
    <w:rsid w:val="00A33C67"/>
    <w:rsid w:val="00A33D6A"/>
    <w:rsid w:val="00A35389"/>
    <w:rsid w:val="00A36B13"/>
    <w:rsid w:val="00A42A13"/>
    <w:rsid w:val="00A43A37"/>
    <w:rsid w:val="00A4508C"/>
    <w:rsid w:val="00A47B2F"/>
    <w:rsid w:val="00A5158A"/>
    <w:rsid w:val="00A51FED"/>
    <w:rsid w:val="00A5326B"/>
    <w:rsid w:val="00A536E3"/>
    <w:rsid w:val="00A54EC6"/>
    <w:rsid w:val="00A55302"/>
    <w:rsid w:val="00A557F7"/>
    <w:rsid w:val="00A576AA"/>
    <w:rsid w:val="00A60161"/>
    <w:rsid w:val="00A62741"/>
    <w:rsid w:val="00A63969"/>
    <w:rsid w:val="00A64AFE"/>
    <w:rsid w:val="00A65014"/>
    <w:rsid w:val="00A676C5"/>
    <w:rsid w:val="00A67D7C"/>
    <w:rsid w:val="00A70A96"/>
    <w:rsid w:val="00A70CD7"/>
    <w:rsid w:val="00A73F88"/>
    <w:rsid w:val="00A76245"/>
    <w:rsid w:val="00A871E7"/>
    <w:rsid w:val="00A905D6"/>
    <w:rsid w:val="00A913DC"/>
    <w:rsid w:val="00A91604"/>
    <w:rsid w:val="00A9464A"/>
    <w:rsid w:val="00A96CAA"/>
    <w:rsid w:val="00A97FAC"/>
    <w:rsid w:val="00AA2599"/>
    <w:rsid w:val="00AA3188"/>
    <w:rsid w:val="00AA3719"/>
    <w:rsid w:val="00AA39B6"/>
    <w:rsid w:val="00AA51EB"/>
    <w:rsid w:val="00AA528A"/>
    <w:rsid w:val="00AA57F9"/>
    <w:rsid w:val="00AA591D"/>
    <w:rsid w:val="00AA6D49"/>
    <w:rsid w:val="00AA79CA"/>
    <w:rsid w:val="00AB27C8"/>
    <w:rsid w:val="00AB2AB5"/>
    <w:rsid w:val="00AB4332"/>
    <w:rsid w:val="00AB4E12"/>
    <w:rsid w:val="00AB533E"/>
    <w:rsid w:val="00AB5CC7"/>
    <w:rsid w:val="00AB60C9"/>
    <w:rsid w:val="00AB67A3"/>
    <w:rsid w:val="00AC1636"/>
    <w:rsid w:val="00AC3EA2"/>
    <w:rsid w:val="00AC3FFC"/>
    <w:rsid w:val="00AC50FE"/>
    <w:rsid w:val="00AC534D"/>
    <w:rsid w:val="00AC5770"/>
    <w:rsid w:val="00AC5A0A"/>
    <w:rsid w:val="00AC61A7"/>
    <w:rsid w:val="00AC69A1"/>
    <w:rsid w:val="00AC6FE1"/>
    <w:rsid w:val="00AD053A"/>
    <w:rsid w:val="00AD178E"/>
    <w:rsid w:val="00AD4014"/>
    <w:rsid w:val="00AD5088"/>
    <w:rsid w:val="00AD5C33"/>
    <w:rsid w:val="00AD74B2"/>
    <w:rsid w:val="00AE0CCA"/>
    <w:rsid w:val="00AE148D"/>
    <w:rsid w:val="00AE26FC"/>
    <w:rsid w:val="00AE2B85"/>
    <w:rsid w:val="00AE336E"/>
    <w:rsid w:val="00AE4CD9"/>
    <w:rsid w:val="00AE55FC"/>
    <w:rsid w:val="00AE59ED"/>
    <w:rsid w:val="00AF0C30"/>
    <w:rsid w:val="00AF2FFB"/>
    <w:rsid w:val="00AF3631"/>
    <w:rsid w:val="00AF58AA"/>
    <w:rsid w:val="00AF7FD6"/>
    <w:rsid w:val="00B00BF4"/>
    <w:rsid w:val="00B010F3"/>
    <w:rsid w:val="00B01238"/>
    <w:rsid w:val="00B01FC7"/>
    <w:rsid w:val="00B03162"/>
    <w:rsid w:val="00B047B4"/>
    <w:rsid w:val="00B06799"/>
    <w:rsid w:val="00B06981"/>
    <w:rsid w:val="00B07B09"/>
    <w:rsid w:val="00B07B32"/>
    <w:rsid w:val="00B10A52"/>
    <w:rsid w:val="00B111D4"/>
    <w:rsid w:val="00B13429"/>
    <w:rsid w:val="00B1344E"/>
    <w:rsid w:val="00B137C4"/>
    <w:rsid w:val="00B1462B"/>
    <w:rsid w:val="00B14E4A"/>
    <w:rsid w:val="00B16033"/>
    <w:rsid w:val="00B17909"/>
    <w:rsid w:val="00B2106C"/>
    <w:rsid w:val="00B228A4"/>
    <w:rsid w:val="00B2367D"/>
    <w:rsid w:val="00B32F36"/>
    <w:rsid w:val="00B33F55"/>
    <w:rsid w:val="00B348D5"/>
    <w:rsid w:val="00B356D1"/>
    <w:rsid w:val="00B368D2"/>
    <w:rsid w:val="00B4139A"/>
    <w:rsid w:val="00B41FC1"/>
    <w:rsid w:val="00B429E0"/>
    <w:rsid w:val="00B4315E"/>
    <w:rsid w:val="00B4425E"/>
    <w:rsid w:val="00B453CD"/>
    <w:rsid w:val="00B45691"/>
    <w:rsid w:val="00B45E7A"/>
    <w:rsid w:val="00B4618E"/>
    <w:rsid w:val="00B4642E"/>
    <w:rsid w:val="00B47CC7"/>
    <w:rsid w:val="00B47D35"/>
    <w:rsid w:val="00B508B5"/>
    <w:rsid w:val="00B509BA"/>
    <w:rsid w:val="00B53853"/>
    <w:rsid w:val="00B53950"/>
    <w:rsid w:val="00B53DCE"/>
    <w:rsid w:val="00B54101"/>
    <w:rsid w:val="00B55314"/>
    <w:rsid w:val="00B57CCE"/>
    <w:rsid w:val="00B57D0E"/>
    <w:rsid w:val="00B616B7"/>
    <w:rsid w:val="00B64B5F"/>
    <w:rsid w:val="00B66425"/>
    <w:rsid w:val="00B722B1"/>
    <w:rsid w:val="00B72601"/>
    <w:rsid w:val="00B74B83"/>
    <w:rsid w:val="00B75A1B"/>
    <w:rsid w:val="00B7669C"/>
    <w:rsid w:val="00B827BA"/>
    <w:rsid w:val="00B83D81"/>
    <w:rsid w:val="00B856C9"/>
    <w:rsid w:val="00B86324"/>
    <w:rsid w:val="00B8636D"/>
    <w:rsid w:val="00B87178"/>
    <w:rsid w:val="00B90220"/>
    <w:rsid w:val="00B90AD5"/>
    <w:rsid w:val="00B913C5"/>
    <w:rsid w:val="00B92579"/>
    <w:rsid w:val="00B928DE"/>
    <w:rsid w:val="00B92CA8"/>
    <w:rsid w:val="00B92D0D"/>
    <w:rsid w:val="00B93E20"/>
    <w:rsid w:val="00B95746"/>
    <w:rsid w:val="00BA0DE8"/>
    <w:rsid w:val="00BA30B9"/>
    <w:rsid w:val="00BA3E21"/>
    <w:rsid w:val="00BA5296"/>
    <w:rsid w:val="00BA5F32"/>
    <w:rsid w:val="00BB00A2"/>
    <w:rsid w:val="00BB0EF1"/>
    <w:rsid w:val="00BB1BF7"/>
    <w:rsid w:val="00BB1C56"/>
    <w:rsid w:val="00BB23C5"/>
    <w:rsid w:val="00BB29DF"/>
    <w:rsid w:val="00BB2A06"/>
    <w:rsid w:val="00BB5864"/>
    <w:rsid w:val="00BB5F09"/>
    <w:rsid w:val="00BB673E"/>
    <w:rsid w:val="00BB73D8"/>
    <w:rsid w:val="00BB7704"/>
    <w:rsid w:val="00BC188B"/>
    <w:rsid w:val="00BC19F1"/>
    <w:rsid w:val="00BC2680"/>
    <w:rsid w:val="00BC3690"/>
    <w:rsid w:val="00BC4096"/>
    <w:rsid w:val="00BC4FD5"/>
    <w:rsid w:val="00BC5896"/>
    <w:rsid w:val="00BC6ADB"/>
    <w:rsid w:val="00BC6B26"/>
    <w:rsid w:val="00BD0A8A"/>
    <w:rsid w:val="00BD10B7"/>
    <w:rsid w:val="00BD1E5B"/>
    <w:rsid w:val="00BD2A63"/>
    <w:rsid w:val="00BD3051"/>
    <w:rsid w:val="00BD4E39"/>
    <w:rsid w:val="00BD5B4B"/>
    <w:rsid w:val="00BD5DF4"/>
    <w:rsid w:val="00BD73D5"/>
    <w:rsid w:val="00BE02CE"/>
    <w:rsid w:val="00BE28F1"/>
    <w:rsid w:val="00BE3F7B"/>
    <w:rsid w:val="00BE4953"/>
    <w:rsid w:val="00BE4ACA"/>
    <w:rsid w:val="00BE5909"/>
    <w:rsid w:val="00BE59D6"/>
    <w:rsid w:val="00BE73E6"/>
    <w:rsid w:val="00BE7D67"/>
    <w:rsid w:val="00BF1E0C"/>
    <w:rsid w:val="00BF3758"/>
    <w:rsid w:val="00BF40F2"/>
    <w:rsid w:val="00BF739F"/>
    <w:rsid w:val="00BF7968"/>
    <w:rsid w:val="00BF7CAB"/>
    <w:rsid w:val="00C00E9B"/>
    <w:rsid w:val="00C01330"/>
    <w:rsid w:val="00C02121"/>
    <w:rsid w:val="00C0295A"/>
    <w:rsid w:val="00C07EBD"/>
    <w:rsid w:val="00C1070B"/>
    <w:rsid w:val="00C119F0"/>
    <w:rsid w:val="00C1280B"/>
    <w:rsid w:val="00C12988"/>
    <w:rsid w:val="00C12D0B"/>
    <w:rsid w:val="00C1406A"/>
    <w:rsid w:val="00C14B33"/>
    <w:rsid w:val="00C1506D"/>
    <w:rsid w:val="00C16D97"/>
    <w:rsid w:val="00C20DDB"/>
    <w:rsid w:val="00C21220"/>
    <w:rsid w:val="00C2141D"/>
    <w:rsid w:val="00C24965"/>
    <w:rsid w:val="00C25356"/>
    <w:rsid w:val="00C27794"/>
    <w:rsid w:val="00C31BE6"/>
    <w:rsid w:val="00C35A6B"/>
    <w:rsid w:val="00C3653C"/>
    <w:rsid w:val="00C36AA2"/>
    <w:rsid w:val="00C41128"/>
    <w:rsid w:val="00C419CD"/>
    <w:rsid w:val="00C44800"/>
    <w:rsid w:val="00C4500C"/>
    <w:rsid w:val="00C459A2"/>
    <w:rsid w:val="00C46401"/>
    <w:rsid w:val="00C47FDA"/>
    <w:rsid w:val="00C502A1"/>
    <w:rsid w:val="00C509DC"/>
    <w:rsid w:val="00C513F5"/>
    <w:rsid w:val="00C515B8"/>
    <w:rsid w:val="00C51A2F"/>
    <w:rsid w:val="00C51A49"/>
    <w:rsid w:val="00C53C5C"/>
    <w:rsid w:val="00C54D26"/>
    <w:rsid w:val="00C55FB1"/>
    <w:rsid w:val="00C56B5D"/>
    <w:rsid w:val="00C572B1"/>
    <w:rsid w:val="00C61A0E"/>
    <w:rsid w:val="00C62FCD"/>
    <w:rsid w:val="00C649CD"/>
    <w:rsid w:val="00C6785F"/>
    <w:rsid w:val="00C7154D"/>
    <w:rsid w:val="00C721E5"/>
    <w:rsid w:val="00C73EF6"/>
    <w:rsid w:val="00C75429"/>
    <w:rsid w:val="00C75734"/>
    <w:rsid w:val="00C758BA"/>
    <w:rsid w:val="00C75F18"/>
    <w:rsid w:val="00C819E4"/>
    <w:rsid w:val="00C82AB0"/>
    <w:rsid w:val="00C84F9D"/>
    <w:rsid w:val="00C854AC"/>
    <w:rsid w:val="00C879BF"/>
    <w:rsid w:val="00C916BD"/>
    <w:rsid w:val="00C93498"/>
    <w:rsid w:val="00C939C5"/>
    <w:rsid w:val="00C948CF"/>
    <w:rsid w:val="00C970B7"/>
    <w:rsid w:val="00CA04D2"/>
    <w:rsid w:val="00CA0DAF"/>
    <w:rsid w:val="00CA14D2"/>
    <w:rsid w:val="00CA1B37"/>
    <w:rsid w:val="00CA23DA"/>
    <w:rsid w:val="00CA4083"/>
    <w:rsid w:val="00CA4838"/>
    <w:rsid w:val="00CA48B2"/>
    <w:rsid w:val="00CA4ABE"/>
    <w:rsid w:val="00CA69D3"/>
    <w:rsid w:val="00CA73AB"/>
    <w:rsid w:val="00CA74B5"/>
    <w:rsid w:val="00CB0225"/>
    <w:rsid w:val="00CB1A3B"/>
    <w:rsid w:val="00CB35A2"/>
    <w:rsid w:val="00CB5CD9"/>
    <w:rsid w:val="00CB5D7A"/>
    <w:rsid w:val="00CB7B29"/>
    <w:rsid w:val="00CC001B"/>
    <w:rsid w:val="00CC0402"/>
    <w:rsid w:val="00CC0956"/>
    <w:rsid w:val="00CC0FE3"/>
    <w:rsid w:val="00CC302F"/>
    <w:rsid w:val="00CC400B"/>
    <w:rsid w:val="00CC574E"/>
    <w:rsid w:val="00CC78B8"/>
    <w:rsid w:val="00CD0505"/>
    <w:rsid w:val="00CD3499"/>
    <w:rsid w:val="00CD4754"/>
    <w:rsid w:val="00CD5761"/>
    <w:rsid w:val="00CD6103"/>
    <w:rsid w:val="00CD6F19"/>
    <w:rsid w:val="00CE00DA"/>
    <w:rsid w:val="00CE1514"/>
    <w:rsid w:val="00CE1D94"/>
    <w:rsid w:val="00CE23D3"/>
    <w:rsid w:val="00CE28B5"/>
    <w:rsid w:val="00CE519A"/>
    <w:rsid w:val="00CE6F04"/>
    <w:rsid w:val="00CE7D09"/>
    <w:rsid w:val="00CF0E12"/>
    <w:rsid w:val="00CF2AFA"/>
    <w:rsid w:val="00CF2F5A"/>
    <w:rsid w:val="00CF3377"/>
    <w:rsid w:val="00CF4886"/>
    <w:rsid w:val="00CF602F"/>
    <w:rsid w:val="00CF62F1"/>
    <w:rsid w:val="00CF7347"/>
    <w:rsid w:val="00CF7777"/>
    <w:rsid w:val="00D015E0"/>
    <w:rsid w:val="00D02660"/>
    <w:rsid w:val="00D03B7F"/>
    <w:rsid w:val="00D04244"/>
    <w:rsid w:val="00D05BC4"/>
    <w:rsid w:val="00D06540"/>
    <w:rsid w:val="00D06B80"/>
    <w:rsid w:val="00D077D4"/>
    <w:rsid w:val="00D07D3B"/>
    <w:rsid w:val="00D10E07"/>
    <w:rsid w:val="00D1583E"/>
    <w:rsid w:val="00D15901"/>
    <w:rsid w:val="00D16E49"/>
    <w:rsid w:val="00D1783E"/>
    <w:rsid w:val="00D20F63"/>
    <w:rsid w:val="00D22E31"/>
    <w:rsid w:val="00D26346"/>
    <w:rsid w:val="00D27532"/>
    <w:rsid w:val="00D30627"/>
    <w:rsid w:val="00D3139F"/>
    <w:rsid w:val="00D33D3F"/>
    <w:rsid w:val="00D345B1"/>
    <w:rsid w:val="00D353F2"/>
    <w:rsid w:val="00D36669"/>
    <w:rsid w:val="00D368FF"/>
    <w:rsid w:val="00D4013B"/>
    <w:rsid w:val="00D4026B"/>
    <w:rsid w:val="00D4071C"/>
    <w:rsid w:val="00D4203B"/>
    <w:rsid w:val="00D42C69"/>
    <w:rsid w:val="00D4391B"/>
    <w:rsid w:val="00D478FA"/>
    <w:rsid w:val="00D47C87"/>
    <w:rsid w:val="00D47D2B"/>
    <w:rsid w:val="00D47D7B"/>
    <w:rsid w:val="00D507EE"/>
    <w:rsid w:val="00D51B8A"/>
    <w:rsid w:val="00D530F6"/>
    <w:rsid w:val="00D55D74"/>
    <w:rsid w:val="00D60864"/>
    <w:rsid w:val="00D60F63"/>
    <w:rsid w:val="00D610E7"/>
    <w:rsid w:val="00D61891"/>
    <w:rsid w:val="00D625DE"/>
    <w:rsid w:val="00D63460"/>
    <w:rsid w:val="00D63866"/>
    <w:rsid w:val="00D64531"/>
    <w:rsid w:val="00D65072"/>
    <w:rsid w:val="00D654D1"/>
    <w:rsid w:val="00D65AA1"/>
    <w:rsid w:val="00D65DBB"/>
    <w:rsid w:val="00D664A1"/>
    <w:rsid w:val="00D72C4E"/>
    <w:rsid w:val="00D72E41"/>
    <w:rsid w:val="00D74B3A"/>
    <w:rsid w:val="00D75B28"/>
    <w:rsid w:val="00D76B6C"/>
    <w:rsid w:val="00D8025C"/>
    <w:rsid w:val="00D80A71"/>
    <w:rsid w:val="00D826B0"/>
    <w:rsid w:val="00D82ED6"/>
    <w:rsid w:val="00D847B1"/>
    <w:rsid w:val="00D85B6D"/>
    <w:rsid w:val="00D85EDF"/>
    <w:rsid w:val="00D87B14"/>
    <w:rsid w:val="00D87EC4"/>
    <w:rsid w:val="00D87F7A"/>
    <w:rsid w:val="00D9066E"/>
    <w:rsid w:val="00D93F1C"/>
    <w:rsid w:val="00D94463"/>
    <w:rsid w:val="00D94985"/>
    <w:rsid w:val="00DA0839"/>
    <w:rsid w:val="00DA0CFA"/>
    <w:rsid w:val="00DA1CAE"/>
    <w:rsid w:val="00DA251A"/>
    <w:rsid w:val="00DA46B3"/>
    <w:rsid w:val="00DA626A"/>
    <w:rsid w:val="00DA6759"/>
    <w:rsid w:val="00DA6F8C"/>
    <w:rsid w:val="00DA714E"/>
    <w:rsid w:val="00DA7661"/>
    <w:rsid w:val="00DA7BDE"/>
    <w:rsid w:val="00DB06FB"/>
    <w:rsid w:val="00DB0ED8"/>
    <w:rsid w:val="00DB1B49"/>
    <w:rsid w:val="00DB30BF"/>
    <w:rsid w:val="00DB4E4E"/>
    <w:rsid w:val="00DB5091"/>
    <w:rsid w:val="00DB5E8B"/>
    <w:rsid w:val="00DB68F7"/>
    <w:rsid w:val="00DB7BED"/>
    <w:rsid w:val="00DC0409"/>
    <w:rsid w:val="00DC16B3"/>
    <w:rsid w:val="00DC1809"/>
    <w:rsid w:val="00DC3BBD"/>
    <w:rsid w:val="00DC62E6"/>
    <w:rsid w:val="00DC6BF8"/>
    <w:rsid w:val="00DC7155"/>
    <w:rsid w:val="00DD0E39"/>
    <w:rsid w:val="00DD1B1B"/>
    <w:rsid w:val="00DD21BC"/>
    <w:rsid w:val="00DD2A8A"/>
    <w:rsid w:val="00DD3473"/>
    <w:rsid w:val="00DD42E2"/>
    <w:rsid w:val="00DD502A"/>
    <w:rsid w:val="00DD6639"/>
    <w:rsid w:val="00DD66C8"/>
    <w:rsid w:val="00DD6C80"/>
    <w:rsid w:val="00DD74DC"/>
    <w:rsid w:val="00DE09A7"/>
    <w:rsid w:val="00DE0F2C"/>
    <w:rsid w:val="00DE17C5"/>
    <w:rsid w:val="00DE37DE"/>
    <w:rsid w:val="00DE38F3"/>
    <w:rsid w:val="00DE446C"/>
    <w:rsid w:val="00DE491A"/>
    <w:rsid w:val="00DE5CC1"/>
    <w:rsid w:val="00DE6422"/>
    <w:rsid w:val="00DE67A1"/>
    <w:rsid w:val="00DE7606"/>
    <w:rsid w:val="00DF074A"/>
    <w:rsid w:val="00DF1F92"/>
    <w:rsid w:val="00DF2D35"/>
    <w:rsid w:val="00DF363C"/>
    <w:rsid w:val="00DF4166"/>
    <w:rsid w:val="00DF569B"/>
    <w:rsid w:val="00E00A62"/>
    <w:rsid w:val="00E00AD1"/>
    <w:rsid w:val="00E01198"/>
    <w:rsid w:val="00E017C2"/>
    <w:rsid w:val="00E01BC7"/>
    <w:rsid w:val="00E0288A"/>
    <w:rsid w:val="00E02A42"/>
    <w:rsid w:val="00E03D68"/>
    <w:rsid w:val="00E0451E"/>
    <w:rsid w:val="00E046F9"/>
    <w:rsid w:val="00E057B1"/>
    <w:rsid w:val="00E06E40"/>
    <w:rsid w:val="00E10F1A"/>
    <w:rsid w:val="00E1382A"/>
    <w:rsid w:val="00E13C16"/>
    <w:rsid w:val="00E151EC"/>
    <w:rsid w:val="00E15B6A"/>
    <w:rsid w:val="00E171AE"/>
    <w:rsid w:val="00E238EF"/>
    <w:rsid w:val="00E24D78"/>
    <w:rsid w:val="00E26E79"/>
    <w:rsid w:val="00E31E9F"/>
    <w:rsid w:val="00E34D43"/>
    <w:rsid w:val="00E37B8F"/>
    <w:rsid w:val="00E37E9D"/>
    <w:rsid w:val="00E37FBC"/>
    <w:rsid w:val="00E4092D"/>
    <w:rsid w:val="00E40B32"/>
    <w:rsid w:val="00E438C2"/>
    <w:rsid w:val="00E47FB0"/>
    <w:rsid w:val="00E52B68"/>
    <w:rsid w:val="00E55823"/>
    <w:rsid w:val="00E56242"/>
    <w:rsid w:val="00E5710F"/>
    <w:rsid w:val="00E57D74"/>
    <w:rsid w:val="00E60461"/>
    <w:rsid w:val="00E60601"/>
    <w:rsid w:val="00E6255C"/>
    <w:rsid w:val="00E626CB"/>
    <w:rsid w:val="00E64945"/>
    <w:rsid w:val="00E711F1"/>
    <w:rsid w:val="00E729DC"/>
    <w:rsid w:val="00E73460"/>
    <w:rsid w:val="00E73B92"/>
    <w:rsid w:val="00E744DE"/>
    <w:rsid w:val="00E74632"/>
    <w:rsid w:val="00E75C0C"/>
    <w:rsid w:val="00E801D2"/>
    <w:rsid w:val="00E812FA"/>
    <w:rsid w:val="00E83833"/>
    <w:rsid w:val="00E8538B"/>
    <w:rsid w:val="00E86533"/>
    <w:rsid w:val="00E87F09"/>
    <w:rsid w:val="00E90A4E"/>
    <w:rsid w:val="00E91082"/>
    <w:rsid w:val="00E95936"/>
    <w:rsid w:val="00E97EB0"/>
    <w:rsid w:val="00EA016D"/>
    <w:rsid w:val="00EA09DE"/>
    <w:rsid w:val="00EA285A"/>
    <w:rsid w:val="00EB25DA"/>
    <w:rsid w:val="00EB2F55"/>
    <w:rsid w:val="00EB3309"/>
    <w:rsid w:val="00EB38D9"/>
    <w:rsid w:val="00EB521B"/>
    <w:rsid w:val="00EB5E27"/>
    <w:rsid w:val="00EC2C25"/>
    <w:rsid w:val="00EC5E10"/>
    <w:rsid w:val="00EC72BA"/>
    <w:rsid w:val="00ED2497"/>
    <w:rsid w:val="00ED4E67"/>
    <w:rsid w:val="00ED63F4"/>
    <w:rsid w:val="00ED73DD"/>
    <w:rsid w:val="00ED7794"/>
    <w:rsid w:val="00EE23A3"/>
    <w:rsid w:val="00EE243A"/>
    <w:rsid w:val="00EE4952"/>
    <w:rsid w:val="00EE7C8D"/>
    <w:rsid w:val="00EE7E04"/>
    <w:rsid w:val="00EF0D5C"/>
    <w:rsid w:val="00EF1C2A"/>
    <w:rsid w:val="00EF21E3"/>
    <w:rsid w:val="00EF3C90"/>
    <w:rsid w:val="00EF66A8"/>
    <w:rsid w:val="00EF7C41"/>
    <w:rsid w:val="00F013EE"/>
    <w:rsid w:val="00F01D69"/>
    <w:rsid w:val="00F01E52"/>
    <w:rsid w:val="00F01F24"/>
    <w:rsid w:val="00F037E0"/>
    <w:rsid w:val="00F03D05"/>
    <w:rsid w:val="00F103B2"/>
    <w:rsid w:val="00F205E3"/>
    <w:rsid w:val="00F20F29"/>
    <w:rsid w:val="00F2157A"/>
    <w:rsid w:val="00F245B4"/>
    <w:rsid w:val="00F24863"/>
    <w:rsid w:val="00F25ACF"/>
    <w:rsid w:val="00F26E39"/>
    <w:rsid w:val="00F27E55"/>
    <w:rsid w:val="00F31DA7"/>
    <w:rsid w:val="00F32962"/>
    <w:rsid w:val="00F3338E"/>
    <w:rsid w:val="00F33644"/>
    <w:rsid w:val="00F33FA9"/>
    <w:rsid w:val="00F33FCC"/>
    <w:rsid w:val="00F35372"/>
    <w:rsid w:val="00F360D9"/>
    <w:rsid w:val="00F361C4"/>
    <w:rsid w:val="00F45D10"/>
    <w:rsid w:val="00F462F3"/>
    <w:rsid w:val="00F5504A"/>
    <w:rsid w:val="00F608DA"/>
    <w:rsid w:val="00F60AE2"/>
    <w:rsid w:val="00F646D0"/>
    <w:rsid w:val="00F65479"/>
    <w:rsid w:val="00F70ABA"/>
    <w:rsid w:val="00F7118D"/>
    <w:rsid w:val="00F7678D"/>
    <w:rsid w:val="00F76C9F"/>
    <w:rsid w:val="00F779EA"/>
    <w:rsid w:val="00F80BD2"/>
    <w:rsid w:val="00F816F1"/>
    <w:rsid w:val="00F830A2"/>
    <w:rsid w:val="00F836DA"/>
    <w:rsid w:val="00F85005"/>
    <w:rsid w:val="00F87B78"/>
    <w:rsid w:val="00F909BD"/>
    <w:rsid w:val="00F935AB"/>
    <w:rsid w:val="00F94D7E"/>
    <w:rsid w:val="00F95F47"/>
    <w:rsid w:val="00F961C0"/>
    <w:rsid w:val="00F9628E"/>
    <w:rsid w:val="00F965BD"/>
    <w:rsid w:val="00F96A5D"/>
    <w:rsid w:val="00FA0FC5"/>
    <w:rsid w:val="00FA1145"/>
    <w:rsid w:val="00FA1921"/>
    <w:rsid w:val="00FA1C4A"/>
    <w:rsid w:val="00FA462C"/>
    <w:rsid w:val="00FA638A"/>
    <w:rsid w:val="00FA705C"/>
    <w:rsid w:val="00FB0145"/>
    <w:rsid w:val="00FB0802"/>
    <w:rsid w:val="00FB0EA4"/>
    <w:rsid w:val="00FB1BDB"/>
    <w:rsid w:val="00FB73B9"/>
    <w:rsid w:val="00FB7D72"/>
    <w:rsid w:val="00FC0CD2"/>
    <w:rsid w:val="00FC1C18"/>
    <w:rsid w:val="00FC5EF7"/>
    <w:rsid w:val="00FC743A"/>
    <w:rsid w:val="00FC792C"/>
    <w:rsid w:val="00FC7D66"/>
    <w:rsid w:val="00FD213B"/>
    <w:rsid w:val="00FD2178"/>
    <w:rsid w:val="00FD311C"/>
    <w:rsid w:val="00FD3B1E"/>
    <w:rsid w:val="00FD3D76"/>
    <w:rsid w:val="00FD50E6"/>
    <w:rsid w:val="00FD548B"/>
    <w:rsid w:val="00FD5AFE"/>
    <w:rsid w:val="00FD68D3"/>
    <w:rsid w:val="00FD6A89"/>
    <w:rsid w:val="00FD73F9"/>
    <w:rsid w:val="00FE10D9"/>
    <w:rsid w:val="00FE1D04"/>
    <w:rsid w:val="00FE234C"/>
    <w:rsid w:val="00FE3150"/>
    <w:rsid w:val="00FE316F"/>
    <w:rsid w:val="00FE3CF6"/>
    <w:rsid w:val="00FE6809"/>
    <w:rsid w:val="00FE6F75"/>
    <w:rsid w:val="00FE70D9"/>
    <w:rsid w:val="00FE7FC5"/>
    <w:rsid w:val="00FF199C"/>
    <w:rsid w:val="00FF2458"/>
    <w:rsid w:val="00FF315B"/>
    <w:rsid w:val="00FF317E"/>
    <w:rsid w:val="00FF49F1"/>
    <w:rsid w:val="00FF4AC3"/>
    <w:rsid w:val="00FF57FD"/>
    <w:rsid w:val="00FF595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08FA03"/>
  <w15:chartTrackingRefBased/>
  <w15:docId w15:val="{6D7BD200-592B-412B-9101-84E9EB5093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19" w:qFormat="1"/>
    <w:lsdException w:name="heading 7" w:uiPriority="19"/>
    <w:lsdException w:name="heading 8" w:semiHidden="1" w:uiPriority="1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footnote text" w:qFormat="1"/>
    <w:lsdException w:name="annotation text" w:semiHidden="1" w:uiPriority="0"/>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qFormat="1"/>
    <w:lsdException w:name="annotation reference" w:semiHidden="1" w:uiPriority="0"/>
    <w:lsdException w:name="line number" w:semiHidden="1"/>
    <w:lsdException w:name="page number" w:uiPriority="0"/>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uiPriority="10" w:qFormat="1"/>
    <w:lsdException w:name="Closing" w:semiHidden="1"/>
    <w:lsdException w:name="Signature" w:semiHidden="1" w:qFormat="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0" w:qFormat="1"/>
    <w:lsdException w:name="Salutation" w:semiHidden="1"/>
    <w:lsdException w:name="Date" w:uiPriority="2"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0"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do not use"/>
    <w:next w:val="BodyText"/>
    <w:rsid w:val="00AA2599"/>
    <w:pPr>
      <w:suppressAutoHyphens/>
      <w:spacing w:after="0" w:line="240" w:lineRule="auto"/>
    </w:pPr>
    <w:rPr>
      <w:rFonts w:ascii="Calibri" w:eastAsia="Calibri" w:hAnsi="Calibri" w:cs="Calibri"/>
      <w:color w:val="FF0000"/>
      <w:sz w:val="20"/>
      <w:szCs w:val="20"/>
    </w:rPr>
  </w:style>
  <w:style w:type="paragraph" w:styleId="Heading1">
    <w:name w:val="heading 1"/>
    <w:next w:val="BodyText"/>
    <w:link w:val="Heading1Char"/>
    <w:qFormat/>
    <w:rsid w:val="00441AD7"/>
    <w:pPr>
      <w:numPr>
        <w:numId w:val="8"/>
      </w:numPr>
      <w:pBdr>
        <w:top w:val="single" w:sz="24" w:space="8" w:color="630019" w:themeColor="accent1"/>
      </w:pBdr>
      <w:spacing w:before="240" w:after="120" w:line="240" w:lineRule="auto"/>
      <w:outlineLvl w:val="0"/>
    </w:pPr>
    <w:rPr>
      <w:color w:val="630019" w:themeColor="accent1"/>
      <w:sz w:val="36"/>
    </w:rPr>
  </w:style>
  <w:style w:type="paragraph" w:styleId="Heading2">
    <w:name w:val="heading 2"/>
    <w:next w:val="BodyText"/>
    <w:link w:val="Heading2Char"/>
    <w:qFormat/>
    <w:rsid w:val="00441AD7"/>
    <w:pPr>
      <w:numPr>
        <w:ilvl w:val="1"/>
        <w:numId w:val="8"/>
      </w:numPr>
      <w:pBdr>
        <w:top w:val="single" w:sz="4" w:space="8" w:color="630019" w:themeColor="accent1"/>
      </w:pBdr>
      <w:spacing w:before="240" w:after="120" w:line="240" w:lineRule="auto"/>
      <w:outlineLvl w:val="1"/>
    </w:pPr>
    <w:rPr>
      <w:color w:val="630019" w:themeColor="accent1"/>
      <w:sz w:val="28"/>
    </w:rPr>
  </w:style>
  <w:style w:type="paragraph" w:styleId="Heading3">
    <w:name w:val="heading 3"/>
    <w:next w:val="BodyText"/>
    <w:link w:val="Heading3Char"/>
    <w:qFormat/>
    <w:rsid w:val="00441AD7"/>
    <w:pPr>
      <w:keepNext/>
      <w:keepLines/>
      <w:numPr>
        <w:ilvl w:val="2"/>
        <w:numId w:val="8"/>
      </w:numPr>
      <w:suppressAutoHyphens/>
      <w:spacing w:before="240" w:after="120" w:line="240" w:lineRule="auto"/>
      <w:outlineLvl w:val="2"/>
    </w:pPr>
    <w:rPr>
      <w:rFonts w:asciiTheme="majorHAnsi" w:hAnsiTheme="majorHAnsi"/>
      <w:color w:val="630019" w:themeColor="accent1"/>
      <w:sz w:val="24"/>
    </w:rPr>
  </w:style>
  <w:style w:type="paragraph" w:styleId="Heading4">
    <w:name w:val="heading 4"/>
    <w:next w:val="BodyText"/>
    <w:link w:val="Heading4Char"/>
    <w:qFormat/>
    <w:rsid w:val="00173240"/>
    <w:pPr>
      <w:keepNext/>
      <w:keepLines/>
      <w:numPr>
        <w:ilvl w:val="3"/>
        <w:numId w:val="8"/>
      </w:numPr>
      <w:suppressAutoHyphens/>
      <w:spacing w:before="240" w:after="120" w:line="240" w:lineRule="auto"/>
      <w:outlineLvl w:val="3"/>
    </w:pPr>
    <w:rPr>
      <w:rFonts w:asciiTheme="majorHAnsi" w:eastAsiaTheme="majorEastAsia" w:hAnsiTheme="majorHAnsi" w:cstheme="majorBidi"/>
      <w:iCs/>
      <w:color w:val="630019" w:themeColor="accent1"/>
    </w:rPr>
  </w:style>
  <w:style w:type="paragraph" w:styleId="Heading5">
    <w:name w:val="heading 5"/>
    <w:next w:val="BodyText"/>
    <w:link w:val="Heading5Char"/>
    <w:qFormat/>
    <w:rsid w:val="00B83D81"/>
    <w:pPr>
      <w:keepNext/>
      <w:keepLines/>
      <w:numPr>
        <w:ilvl w:val="4"/>
        <w:numId w:val="8"/>
      </w:numPr>
      <w:suppressAutoHyphens/>
      <w:spacing w:before="240" w:after="120" w:line="240" w:lineRule="auto"/>
      <w:outlineLvl w:val="4"/>
    </w:pPr>
    <w:rPr>
      <w:rFonts w:asciiTheme="majorHAnsi" w:eastAsiaTheme="majorEastAsia" w:hAnsiTheme="majorHAnsi" w:cstheme="majorBidi"/>
      <w:color w:val="630019" w:themeColor="accent1"/>
    </w:rPr>
  </w:style>
  <w:style w:type="paragraph" w:styleId="Heading6">
    <w:name w:val="heading 6"/>
    <w:next w:val="BodyText"/>
    <w:link w:val="Heading6Char"/>
    <w:uiPriority w:val="19"/>
    <w:qFormat/>
    <w:rsid w:val="00A91604"/>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19"/>
    <w:semiHidden/>
    <w:rsid w:val="00A91604"/>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paragraph" w:styleId="Heading8">
    <w:name w:val="heading 8"/>
    <w:basedOn w:val="Normal"/>
    <w:next w:val="Normal"/>
    <w:link w:val="Heading8Char"/>
    <w:uiPriority w:val="19"/>
    <w:semiHidden/>
    <w:rsid w:val="002D4D94"/>
    <w:pPr>
      <w:keepNext/>
      <w:keepLines/>
      <w:suppressAutoHyphens w:val="0"/>
      <w:spacing w:before="200" w:line="288" w:lineRule="auto"/>
      <w:outlineLvl w:val="7"/>
    </w:pPr>
    <w:rPr>
      <w:rFonts w:ascii="Arial" w:eastAsiaTheme="majorEastAsia" w:hAnsi="Arial" w:cstheme="majorBidi"/>
      <w:color w:val="525D67" w:themeColor="text1" w:themeTint="BF"/>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aliases w:val="Nous Table,Table,NOUS,NOUS Side Header"/>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FFFAEB" w:themeColor="accent6" w:themeTint="66"/>
        <w:left w:val="single" w:sz="4" w:space="0" w:color="FFFAEB" w:themeColor="accent6" w:themeTint="66"/>
        <w:bottom w:val="single" w:sz="4" w:space="0" w:color="FFFAEB" w:themeColor="accent6" w:themeTint="66"/>
        <w:right w:val="single" w:sz="4" w:space="0" w:color="FFFAEB" w:themeColor="accent6" w:themeTint="66"/>
        <w:insideH w:val="single" w:sz="4" w:space="0" w:color="FFFAEB" w:themeColor="accent6" w:themeTint="66"/>
        <w:insideV w:val="single" w:sz="4" w:space="0" w:color="FFFAEB" w:themeColor="accent6" w:themeTint="66"/>
      </w:tblBorders>
    </w:tblPr>
    <w:tblStylePr w:type="firstRow">
      <w:rPr>
        <w:b/>
        <w:bCs/>
      </w:rPr>
      <w:tblPr/>
      <w:tcPr>
        <w:tcBorders>
          <w:bottom w:val="single" w:sz="12" w:space="0" w:color="FFF8E2" w:themeColor="accent6" w:themeTint="99"/>
        </w:tcBorders>
      </w:tcPr>
    </w:tblStylePr>
    <w:tblStylePr w:type="lastRow">
      <w:rPr>
        <w:b/>
        <w:bCs/>
      </w:rPr>
      <w:tblPr/>
      <w:tcPr>
        <w:tcBorders>
          <w:top w:val="double" w:sz="2" w:space="0" w:color="FFF8E2" w:themeColor="accent6" w:themeTint="99"/>
        </w:tcBorders>
      </w:tcPr>
    </w:tblStylePr>
    <w:tblStylePr w:type="firstCol">
      <w:rPr>
        <w:b/>
        <w:bCs/>
      </w:rPr>
    </w:tblStylePr>
    <w:tblStylePr w:type="lastCol">
      <w:rPr>
        <w:b/>
        <w:bCs/>
      </w:rPr>
    </w:tblStylePr>
  </w:style>
  <w:style w:type="paragraph" w:styleId="TOC1">
    <w:name w:val="toc 1"/>
    <w:next w:val="BodyText"/>
    <w:uiPriority w:val="39"/>
    <w:rsid w:val="00446E19"/>
    <w:pPr>
      <w:tabs>
        <w:tab w:val="left" w:pos="567"/>
        <w:tab w:val="left" w:pos="907"/>
        <w:tab w:val="right" w:leader="dot" w:pos="10206"/>
      </w:tabs>
      <w:suppressAutoHyphens/>
      <w:spacing w:before="120" w:after="120" w:line="240" w:lineRule="auto"/>
      <w:ind w:left="567" w:hanging="567"/>
    </w:pPr>
    <w:rPr>
      <w:rFonts w:asciiTheme="majorHAnsi" w:eastAsia="Calibri" w:hAnsiTheme="majorHAnsi" w:cs="Calibri"/>
      <w:color w:val="630019" w:themeColor="accent1"/>
      <w:szCs w:val="20"/>
    </w:rPr>
  </w:style>
  <w:style w:type="paragraph" w:styleId="TOC2">
    <w:name w:val="toc 2"/>
    <w:next w:val="BodyText"/>
    <w:uiPriority w:val="39"/>
    <w:rsid w:val="003002D8"/>
    <w:pPr>
      <w:tabs>
        <w:tab w:val="left" w:pos="1134"/>
        <w:tab w:val="right" w:leader="dot" w:pos="10206"/>
      </w:tabs>
      <w:suppressAutoHyphens/>
      <w:spacing w:before="120" w:after="120" w:line="240" w:lineRule="auto"/>
      <w:ind w:left="1134" w:hanging="567"/>
    </w:pPr>
    <w:rPr>
      <w:rFonts w:eastAsia="Calibri" w:cs="Calibri"/>
      <w:color w:val="630019" w:themeColor="accent1"/>
      <w:szCs w:val="20"/>
    </w:rPr>
  </w:style>
  <w:style w:type="paragraph" w:styleId="TOC3">
    <w:name w:val="toc 3"/>
    <w:next w:val="BodyText"/>
    <w:uiPriority w:val="39"/>
    <w:rsid w:val="003E7B8D"/>
    <w:pPr>
      <w:tabs>
        <w:tab w:val="left" w:pos="1985"/>
        <w:tab w:val="right" w:leader="dot" w:pos="10206"/>
      </w:tabs>
      <w:suppressAutoHyphens/>
      <w:spacing w:before="120" w:after="120" w:line="240" w:lineRule="auto"/>
      <w:ind w:left="1814" w:hanging="680"/>
    </w:pPr>
    <w:rPr>
      <w:color w:val="630019" w:themeColor="accent1"/>
    </w:rPr>
  </w:style>
  <w:style w:type="paragraph" w:styleId="TOC4">
    <w:name w:val="toc 4"/>
    <w:basedOn w:val="Normal"/>
    <w:next w:val="Normal"/>
    <w:uiPriority w:val="39"/>
    <w:rsid w:val="00A91604"/>
    <w:pPr>
      <w:spacing w:after="100"/>
      <w:ind w:left="660"/>
    </w:pPr>
  </w:style>
  <w:style w:type="paragraph" w:styleId="TOC5">
    <w:name w:val="toc 5"/>
    <w:basedOn w:val="Normal"/>
    <w:next w:val="Normal"/>
    <w:uiPriority w:val="39"/>
    <w:rsid w:val="00A91604"/>
    <w:pPr>
      <w:spacing w:after="100"/>
      <w:ind w:left="880"/>
    </w:pPr>
  </w:style>
  <w:style w:type="paragraph" w:styleId="TOC6">
    <w:name w:val="toc 6"/>
    <w:basedOn w:val="Normal"/>
    <w:next w:val="Normal"/>
    <w:uiPriority w:val="39"/>
    <w:rsid w:val="00A91604"/>
    <w:pPr>
      <w:spacing w:after="100"/>
      <w:ind w:left="1100"/>
    </w:pPr>
  </w:style>
  <w:style w:type="paragraph" w:styleId="TOC7">
    <w:name w:val="toc 7"/>
    <w:basedOn w:val="Normal"/>
    <w:next w:val="Normal"/>
    <w:uiPriority w:val="39"/>
    <w:rsid w:val="00A91604"/>
    <w:pPr>
      <w:spacing w:after="100"/>
      <w:ind w:left="1320"/>
    </w:pPr>
  </w:style>
  <w:style w:type="paragraph" w:styleId="TOC8">
    <w:name w:val="toc 8"/>
    <w:basedOn w:val="Normal"/>
    <w:next w:val="Normal"/>
    <w:uiPriority w:val="39"/>
    <w:rsid w:val="00A91604"/>
    <w:pPr>
      <w:spacing w:after="100"/>
      <w:ind w:left="1540"/>
    </w:pPr>
  </w:style>
  <w:style w:type="paragraph" w:styleId="TOC9">
    <w:name w:val="toc 9"/>
    <w:basedOn w:val="Normal"/>
    <w:next w:val="Normal"/>
    <w:uiPriority w:val="39"/>
    <w:rsid w:val="00492842"/>
    <w:pPr>
      <w:spacing w:after="100"/>
      <w:ind w:left="1600"/>
    </w:pPr>
  </w:style>
  <w:style w:type="character" w:customStyle="1" w:styleId="Heading1Char">
    <w:name w:val="Heading 1 Char"/>
    <w:basedOn w:val="DefaultParagraphFont"/>
    <w:link w:val="Heading1"/>
    <w:rsid w:val="00441AD7"/>
    <w:rPr>
      <w:color w:val="630019" w:themeColor="accent1"/>
      <w:sz w:val="36"/>
    </w:rPr>
  </w:style>
  <w:style w:type="paragraph" w:styleId="TOCHeading">
    <w:name w:val="TOC Heading"/>
    <w:next w:val="BodyText"/>
    <w:uiPriority w:val="39"/>
    <w:qFormat/>
    <w:rsid w:val="00446E19"/>
    <w:pPr>
      <w:pageBreakBefore/>
      <w:suppressAutoHyphens/>
      <w:spacing w:after="360" w:line="240" w:lineRule="auto"/>
    </w:pPr>
    <w:rPr>
      <w:color w:val="630019" w:themeColor="accent1"/>
      <w:sz w:val="48"/>
    </w:r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2F3821"/>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2F3821"/>
    <w:rPr>
      <w:color w:val="22272B" w:themeColor="text1"/>
      <w:sz w:val="18"/>
    </w:rPr>
  </w:style>
  <w:style w:type="paragraph" w:styleId="Footer">
    <w:name w:val="footer"/>
    <w:aliases w:val="Foot note"/>
    <w:link w:val="FooterChar"/>
    <w:uiPriority w:val="99"/>
    <w:rsid w:val="00E01198"/>
    <w:pPr>
      <w:tabs>
        <w:tab w:val="center" w:pos="5670"/>
        <w:tab w:val="right" w:pos="10206"/>
      </w:tabs>
      <w:suppressAutoHyphens/>
      <w:spacing w:before="120" w:after="120" w:line="240" w:lineRule="auto"/>
      <w:contextualSpacing/>
    </w:pPr>
    <w:rPr>
      <w:color w:val="22272B" w:themeColor="text1"/>
      <w:sz w:val="18"/>
    </w:rPr>
  </w:style>
  <w:style w:type="character" w:customStyle="1" w:styleId="FooterChar">
    <w:name w:val="Footer Char"/>
    <w:aliases w:val="Foot note Char"/>
    <w:basedOn w:val="DefaultParagraphFont"/>
    <w:link w:val="Footer"/>
    <w:uiPriority w:val="99"/>
    <w:rsid w:val="00E01198"/>
    <w:rPr>
      <w:color w:val="22272B" w:themeColor="text1"/>
      <w:sz w:val="18"/>
    </w:rPr>
  </w:style>
  <w:style w:type="character" w:styleId="PlaceholderText">
    <w:name w:val="Placeholder Text"/>
    <w:basedOn w:val="DefaultParagraphFont"/>
    <w:uiPriority w:val="99"/>
    <w:semiHidden/>
    <w:rsid w:val="00A91604"/>
    <w:rPr>
      <w:color w:val="808080"/>
    </w:rPr>
  </w:style>
  <w:style w:type="character" w:styleId="Emphasis">
    <w:name w:val="Emphasis"/>
    <w:aliases w:val="Italic"/>
    <w:basedOn w:val="DefaultParagraphFont"/>
    <w:uiPriority w:val="20"/>
    <w:qFormat/>
    <w:rsid w:val="00A91604"/>
    <w:rPr>
      <w:i/>
      <w:iCs/>
    </w:rPr>
  </w:style>
  <w:style w:type="character" w:styleId="Strong">
    <w:name w:val="Strong"/>
    <w:aliases w:val="Bold"/>
    <w:basedOn w:val="DefaultParagraphFont"/>
    <w:uiPriority w:val="22"/>
    <w:qFormat/>
    <w:rsid w:val="00A91604"/>
    <w:rPr>
      <w:b/>
      <w:bCs/>
    </w:rPr>
  </w:style>
  <w:style w:type="paragraph" w:styleId="ListBullet">
    <w:name w:val="List Bullet"/>
    <w:uiPriority w:val="10"/>
    <w:qFormat/>
    <w:rsid w:val="004F36F7"/>
    <w:pPr>
      <w:numPr>
        <w:numId w:val="6"/>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BC3690"/>
    <w:pPr>
      <w:numPr>
        <w:numId w:val="7"/>
      </w:numPr>
      <w:suppressAutoHyphens/>
      <w:spacing w:before="120" w:after="120" w:line="240" w:lineRule="auto"/>
    </w:pPr>
    <w:rPr>
      <w:color w:val="22272B" w:themeColor="text1"/>
    </w:rPr>
  </w:style>
  <w:style w:type="paragraph" w:styleId="FootnoteText">
    <w:name w:val="footnote text"/>
    <w:aliases w:val="(NECG) Footnote Text,ALTS FOOTNOTE,Footnote"/>
    <w:link w:val="FootnoteTextChar"/>
    <w:uiPriority w:val="99"/>
    <w:qFormat/>
    <w:rsid w:val="00344B84"/>
    <w:pPr>
      <w:spacing w:before="60" w:after="60" w:line="240" w:lineRule="auto"/>
    </w:pPr>
    <w:rPr>
      <w:color w:val="22272B" w:themeColor="text1"/>
      <w:sz w:val="20"/>
      <w:szCs w:val="20"/>
    </w:rPr>
  </w:style>
  <w:style w:type="character" w:customStyle="1" w:styleId="FootnoteTextChar">
    <w:name w:val="Footnote Text Char"/>
    <w:aliases w:val="(NECG) Footnote Text Char,ALTS FOOTNOTE Char,Footnote Char"/>
    <w:basedOn w:val="DefaultParagraphFont"/>
    <w:link w:val="FootnoteText"/>
    <w:uiPriority w:val="99"/>
    <w:rsid w:val="00344B84"/>
    <w:rPr>
      <w:color w:val="22272B" w:themeColor="text1"/>
      <w:sz w:val="20"/>
      <w:szCs w:val="20"/>
    </w:rPr>
  </w:style>
  <w:style w:type="character" w:styleId="FootnoteReference">
    <w:name w:val="footnote reference"/>
    <w:aliases w:val="(NECG) Footnote Reference,Text Footnote Reference,fr"/>
    <w:basedOn w:val="DefaultParagraphFont"/>
    <w:uiPriority w:val="99"/>
    <w:qFormat/>
    <w:rsid w:val="00344B84"/>
    <w:rPr>
      <w:color w:val="22272B" w:themeColor="text1"/>
      <w:vertAlign w:val="superscript"/>
    </w:rPr>
  </w:style>
  <w:style w:type="paragraph" w:styleId="BodyText">
    <w:name w:val="Body Text"/>
    <w:link w:val="BodyTextChar"/>
    <w:uiPriority w:val="7"/>
    <w:qFormat/>
    <w:rsid w:val="003207C1"/>
    <w:pPr>
      <w:tabs>
        <w:tab w:val="left" w:pos="357"/>
        <w:tab w:val="left" w:pos="714"/>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uiPriority w:val="7"/>
    <w:rsid w:val="0062664C"/>
    <w:rPr>
      <w:color w:val="22272B" w:themeColor="text1"/>
    </w:rPr>
  </w:style>
  <w:style w:type="character" w:customStyle="1" w:styleId="Heading2Char">
    <w:name w:val="Heading 2 Char"/>
    <w:basedOn w:val="DefaultParagraphFont"/>
    <w:link w:val="Heading2"/>
    <w:rsid w:val="00441AD7"/>
    <w:rPr>
      <w:color w:val="630019" w:themeColor="accent1"/>
      <w:sz w:val="28"/>
    </w:rPr>
  </w:style>
  <w:style w:type="character" w:customStyle="1" w:styleId="Heading3Char">
    <w:name w:val="Heading 3 Char"/>
    <w:basedOn w:val="DefaultParagraphFont"/>
    <w:link w:val="Heading3"/>
    <w:rsid w:val="00441AD7"/>
    <w:rPr>
      <w:rFonts w:asciiTheme="majorHAnsi" w:hAnsiTheme="majorHAnsi"/>
      <w:color w:val="630019" w:themeColor="accent1"/>
      <w:sz w:val="24"/>
    </w:rPr>
  </w:style>
  <w:style w:type="character" w:customStyle="1" w:styleId="Heading4Char">
    <w:name w:val="Heading 4 Char"/>
    <w:basedOn w:val="DefaultParagraphFont"/>
    <w:link w:val="Heading4"/>
    <w:rsid w:val="00173240"/>
    <w:rPr>
      <w:rFonts w:asciiTheme="majorHAnsi" w:eastAsiaTheme="majorEastAsia" w:hAnsiTheme="majorHAnsi" w:cstheme="majorBidi"/>
      <w:iCs/>
      <w:color w:val="630019" w:themeColor="accent1"/>
    </w:rPr>
  </w:style>
  <w:style w:type="character" w:customStyle="1" w:styleId="Heading5Char">
    <w:name w:val="Heading 5 Char"/>
    <w:basedOn w:val="DefaultParagraphFont"/>
    <w:link w:val="Heading5"/>
    <w:rsid w:val="00173240"/>
    <w:rPr>
      <w:rFonts w:asciiTheme="majorHAnsi" w:eastAsiaTheme="majorEastAsia" w:hAnsiTheme="majorHAnsi" w:cstheme="majorBidi"/>
      <w:color w:val="630019" w:themeColor="accent1"/>
    </w:rPr>
  </w:style>
  <w:style w:type="character" w:customStyle="1" w:styleId="Heading6Char">
    <w:name w:val="Heading 6 Char"/>
    <w:basedOn w:val="DefaultParagraphFont"/>
    <w:link w:val="Heading6"/>
    <w:uiPriority w:val="19"/>
    <w:rsid w:val="00446065"/>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1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10"/>
    <w:qFormat/>
    <w:rsid w:val="00A91604"/>
    <w:pPr>
      <w:numPr>
        <w:numId w:val="2"/>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A91604"/>
    <w:pPr>
      <w:numPr>
        <w:numId w:val="3"/>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rsid w:val="00A91604"/>
  </w:style>
  <w:style w:type="paragraph" w:styleId="ListNumber3">
    <w:name w:val="List Number 3"/>
    <w:uiPriority w:val="10"/>
    <w:qFormat/>
    <w:rsid w:val="004F36F7"/>
    <w:pPr>
      <w:numPr>
        <w:numId w:val="5"/>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A91604"/>
    <w:pPr>
      <w:numPr>
        <w:numId w:val="4"/>
      </w:numPr>
      <w:suppressAutoHyphens/>
      <w:spacing w:before="120" w:after="120" w:line="240" w:lineRule="auto"/>
    </w:pPr>
    <w:rPr>
      <w:rFonts w:eastAsia="Arial" w:cs="Times New Roman"/>
      <w:color w:val="22272B" w:themeColor="text1"/>
      <w:szCs w:val="24"/>
      <w:lang w:eastAsia="en-US"/>
    </w:rPr>
  </w:style>
  <w:style w:type="character" w:styleId="CommentReference">
    <w:name w:val="annotation reference"/>
    <w:basedOn w:val="DefaultParagraphFont"/>
    <w:semiHidden/>
    <w:rsid w:val="00A91604"/>
    <w:rPr>
      <w:sz w:val="16"/>
      <w:szCs w:val="16"/>
    </w:rPr>
  </w:style>
  <w:style w:type="paragraph" w:styleId="CommentText">
    <w:name w:val="annotation text"/>
    <w:basedOn w:val="Normal"/>
    <w:link w:val="CommentTextChar"/>
    <w:rsid w:val="00A91604"/>
  </w:style>
  <w:style w:type="character" w:customStyle="1" w:styleId="CommentTextChar">
    <w:name w:val="Comment Text Char"/>
    <w:basedOn w:val="DefaultParagraphFont"/>
    <w:link w:val="CommentText"/>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semiHidden/>
    <w:rsid w:val="00A91604"/>
    <w:rPr>
      <w:rFonts w:ascii="Segoe UI" w:hAnsi="Segoe UI" w:cs="Segoe UI"/>
      <w:sz w:val="18"/>
      <w:szCs w:val="18"/>
    </w:rPr>
  </w:style>
  <w:style w:type="character" w:customStyle="1" w:styleId="BalloonTextChar">
    <w:name w:val="Balloon Text Char"/>
    <w:basedOn w:val="DefaultParagraphFont"/>
    <w:link w:val="BalloonText"/>
    <w:semiHidden/>
    <w:rsid w:val="00A91604"/>
    <w:rPr>
      <w:rFonts w:ascii="Segoe UI" w:hAnsi="Segoe UI" w:cs="Segoe UI"/>
      <w:color w:val="22272B" w:themeColor="text1"/>
      <w:sz w:val="18"/>
      <w:szCs w:val="18"/>
    </w:rPr>
  </w:style>
  <w:style w:type="paragraph" w:customStyle="1" w:styleId="Introduction">
    <w:name w:val="Introduction"/>
    <w:next w:val="BodyText"/>
    <w:uiPriority w:val="8"/>
    <w:qFormat/>
    <w:rsid w:val="00414A53"/>
    <w:pPr>
      <w:suppressAutoHyphens/>
      <w:spacing w:before="240" w:after="240" w:line="240" w:lineRule="auto"/>
      <w:contextualSpacing/>
    </w:pPr>
    <w:rPr>
      <w:color w:val="630019" w:themeColor="accent1"/>
      <w:sz w:val="28"/>
    </w:rPr>
  </w:style>
  <w:style w:type="paragraph" w:styleId="Caption">
    <w:name w:val="caption"/>
    <w:next w:val="BodyText"/>
    <w:uiPriority w:val="35"/>
    <w:qFormat/>
    <w:rsid w:val="00B509BA"/>
    <w:pPr>
      <w:suppressAutoHyphens/>
      <w:spacing w:before="120" w:after="120" w:line="240" w:lineRule="auto"/>
    </w:pPr>
    <w:rPr>
      <w:iCs/>
      <w:color w:val="630019"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styleId="Quote">
    <w:name w:val="Quote"/>
    <w:aliases w:val="Pull out quote"/>
    <w:next w:val="BodyText"/>
    <w:link w:val="QuoteChar"/>
    <w:qFormat/>
    <w:rsid w:val="00F037E0"/>
    <w:pPr>
      <w:pBdr>
        <w:left w:val="single" w:sz="4" w:space="8" w:color="D7153A" w:themeColor="accent2"/>
      </w:pBdr>
      <w:spacing w:before="120" w:after="120" w:line="240" w:lineRule="auto"/>
      <w:ind w:left="227" w:right="57"/>
    </w:pPr>
    <w:rPr>
      <w:color w:val="630019" w:themeColor="accent1"/>
      <w:sz w:val="28"/>
    </w:rPr>
  </w:style>
  <w:style w:type="paragraph" w:customStyle="1" w:styleId="HeaderFooterSensitivityLabelSpace">
    <w:name w:val="Header&amp;Footer Sensitivity Label Space"/>
    <w:next w:val="Header"/>
    <w:uiPriority w:val="99"/>
    <w:rsid w:val="002F3821"/>
    <w:pPr>
      <w:suppressAutoHyphens/>
      <w:spacing w:before="240" w:after="240" w:line="240" w:lineRule="auto"/>
    </w:pPr>
    <w:rPr>
      <w:color w:val="D7153A" w:themeColor="text2"/>
    </w:rPr>
  </w:style>
  <w:style w:type="paragraph" w:styleId="Title">
    <w:name w:val="Title"/>
    <w:next w:val="BodyText"/>
    <w:link w:val="TitleChar"/>
    <w:uiPriority w:val="10"/>
    <w:qFormat/>
    <w:rsid w:val="006E4DEE"/>
    <w:pPr>
      <w:spacing w:after="0" w:line="240" w:lineRule="auto"/>
    </w:pPr>
    <w:rPr>
      <w:rFonts w:eastAsiaTheme="majorEastAsia" w:cstheme="majorBidi"/>
      <w:color w:val="22272B" w:themeColor="text1"/>
      <w:kern w:val="28"/>
      <w:position w:val="4"/>
      <w:sz w:val="36"/>
      <w:szCs w:val="56"/>
      <w:lang w:eastAsia="en-US"/>
    </w:rPr>
  </w:style>
  <w:style w:type="character" w:customStyle="1" w:styleId="TitleChar">
    <w:name w:val="Title Char"/>
    <w:basedOn w:val="DefaultParagraphFont"/>
    <w:link w:val="Title"/>
    <w:uiPriority w:val="10"/>
    <w:rsid w:val="006E4DEE"/>
    <w:rPr>
      <w:rFonts w:eastAsiaTheme="majorEastAsia" w:cstheme="majorBidi"/>
      <w:color w:val="22272B" w:themeColor="text1"/>
      <w:kern w:val="28"/>
      <w:position w:val="4"/>
      <w:sz w:val="36"/>
      <w:szCs w:val="56"/>
      <w:lang w:eastAsia="en-US"/>
    </w:rPr>
  </w:style>
  <w:style w:type="paragraph" w:styleId="Subtitle">
    <w:name w:val="Subtitle"/>
    <w:next w:val="BodyText"/>
    <w:link w:val="SubtitleChar"/>
    <w:rsid w:val="00A70CD7"/>
    <w:pPr>
      <w:numPr>
        <w:ilvl w:val="1"/>
      </w:numPr>
      <w:pBdr>
        <w:top w:val="single" w:sz="4" w:space="4" w:color="FFFFFF" w:themeColor="background1"/>
      </w:pBdr>
      <w:suppressAutoHyphens/>
      <w:spacing w:after="0" w:line="240" w:lineRule="auto"/>
    </w:pPr>
    <w:rPr>
      <w:color w:val="22272B" w:themeColor="text1"/>
      <w:sz w:val="48"/>
      <w:lang w:eastAsia="en-US"/>
    </w:rPr>
  </w:style>
  <w:style w:type="character" w:customStyle="1" w:styleId="SubtitleChar">
    <w:name w:val="Subtitle Char"/>
    <w:basedOn w:val="DefaultParagraphFont"/>
    <w:link w:val="Subtitle"/>
    <w:rsid w:val="005A0798"/>
    <w:rPr>
      <w:color w:val="22272B" w:themeColor="text1"/>
      <w:sz w:val="48"/>
      <w:lang w:eastAsia="en-US"/>
    </w:rPr>
  </w:style>
  <w:style w:type="paragraph" w:styleId="EndnoteText">
    <w:name w:val="endnote text"/>
    <w:basedOn w:val="Normal"/>
    <w:link w:val="EndnoteTextChar"/>
    <w:uiPriority w:val="99"/>
    <w:semiHidden/>
    <w:rsid w:val="008F0B7B"/>
  </w:style>
  <w:style w:type="character" w:styleId="UnresolvedMention">
    <w:name w:val="Unresolved Mention"/>
    <w:basedOn w:val="DefaultParagraphFont"/>
    <w:uiPriority w:val="99"/>
    <w:unhideWhenUsed/>
    <w:rsid w:val="00DF074A"/>
    <w:rPr>
      <w:color w:val="605E5C"/>
      <w:shd w:val="clear" w:color="auto" w:fill="E1DFDD"/>
    </w:rPr>
  </w:style>
  <w:style w:type="paragraph" w:styleId="TableofFigures">
    <w:name w:val="table of figures"/>
    <w:next w:val="BodyText"/>
    <w:uiPriority w:val="99"/>
    <w:semiHidden/>
    <w:rsid w:val="00B368D2"/>
    <w:pPr>
      <w:tabs>
        <w:tab w:val="right" w:leader="dot" w:pos="10206"/>
      </w:tabs>
      <w:spacing w:before="120" w:after="120" w:line="240" w:lineRule="auto"/>
    </w:pPr>
    <w:rPr>
      <w:rFonts w:eastAsia="Calibri" w:cs="Calibri"/>
      <w:color w:val="630019" w:themeColor="accent1"/>
      <w:sz w:val="20"/>
      <w:szCs w:val="20"/>
    </w:rPr>
  </w:style>
  <w:style w:type="character" w:customStyle="1" w:styleId="BoldItalic">
    <w:name w:val="Bold Italic"/>
    <w:basedOn w:val="DefaultParagraphFont"/>
    <w:uiPriority w:val="22"/>
    <w:qFormat/>
    <w:rsid w:val="00635A04"/>
    <w:rPr>
      <w:b/>
      <w:i/>
    </w:rPr>
  </w:style>
  <w:style w:type="character" w:customStyle="1" w:styleId="EndnoteTextChar">
    <w:name w:val="Endnote Text Char"/>
    <w:basedOn w:val="DefaultParagraphFont"/>
    <w:link w:val="EndnoteText"/>
    <w:uiPriority w:val="99"/>
    <w:semiHidden/>
    <w:rsid w:val="008F0B7B"/>
    <w:rPr>
      <w:rFonts w:ascii="Calibri" w:eastAsia="Calibri" w:hAnsi="Calibri" w:cs="Calibri"/>
      <w:color w:val="FF0000"/>
      <w:sz w:val="20"/>
      <w:szCs w:val="20"/>
    </w:rPr>
  </w:style>
  <w:style w:type="character" w:styleId="EndnoteReference">
    <w:name w:val="endnote reference"/>
    <w:basedOn w:val="DefaultParagraphFont"/>
    <w:uiPriority w:val="99"/>
    <w:semiHidden/>
    <w:rsid w:val="008F0B7B"/>
    <w:rPr>
      <w:vertAlign w:val="superscript"/>
    </w:rPr>
  </w:style>
  <w:style w:type="paragraph" w:styleId="Date">
    <w:name w:val="Date"/>
    <w:next w:val="BodyText"/>
    <w:link w:val="DateChar"/>
    <w:uiPriority w:val="3"/>
    <w:qFormat/>
    <w:rsid w:val="000F36A1"/>
    <w:pPr>
      <w:spacing w:before="120" w:after="600" w:line="240" w:lineRule="auto"/>
    </w:pPr>
    <w:rPr>
      <w:color w:val="22272B" w:themeColor="text1"/>
    </w:rPr>
  </w:style>
  <w:style w:type="table" w:styleId="ListTable3-Accent3">
    <w:name w:val="List Table 3 Accent 3"/>
    <w:basedOn w:val="TableNormal"/>
    <w:uiPriority w:val="48"/>
    <w:rsid w:val="00BE28F1"/>
    <w:pPr>
      <w:spacing w:after="0" w:line="240" w:lineRule="auto"/>
    </w:pPr>
    <w:rPr>
      <w:sz w:val="20"/>
    </w:rPr>
    <w:tblPr>
      <w:tblStyleRowBandSize w:val="1"/>
      <w:tblStyleColBandSize w:val="1"/>
      <w:tblBorders>
        <w:top w:val="single" w:sz="4" w:space="0" w:color="DC001B" w:themeColor="accent3" w:themeShade="80"/>
        <w:left w:val="single" w:sz="4" w:space="0" w:color="DC001B" w:themeColor="accent3" w:themeShade="80"/>
        <w:bottom w:val="single" w:sz="4" w:space="0" w:color="DC001B" w:themeColor="accent3" w:themeShade="80"/>
        <w:right w:val="single" w:sz="4" w:space="0" w:color="DC001B" w:themeColor="accent3" w:themeShade="80"/>
        <w:insideH w:val="single" w:sz="4" w:space="0" w:color="DC001B" w:themeColor="accent3" w:themeShade="80"/>
        <w:insideV w:val="single" w:sz="4" w:space="0" w:color="DC001B" w:themeColor="accent3" w:themeShade="80"/>
      </w:tblBorders>
    </w:tblPr>
    <w:tcPr>
      <w:shd w:val="clear" w:color="auto" w:fill="FFFFFF" w:themeFill="background1"/>
    </w:tcPr>
    <w:tblStylePr w:type="firstRow">
      <w:rPr>
        <w:b/>
        <w:bCs/>
        <w:color w:val="FFFFFF" w:themeColor="background1"/>
      </w:rPr>
      <w:tblPr/>
      <w:trPr>
        <w:tblHeader/>
      </w:trPr>
      <w:tcPr>
        <w:tcBorders>
          <w:top w:val="single" w:sz="4" w:space="0" w:color="DC001B" w:themeColor="accent3" w:themeShade="80"/>
          <w:left w:val="single" w:sz="4" w:space="0" w:color="DC001B" w:themeColor="accent3" w:themeShade="80"/>
          <w:bottom w:val="single" w:sz="4" w:space="0" w:color="DC001B" w:themeColor="accent3" w:themeShade="80"/>
          <w:right w:val="single" w:sz="4" w:space="0" w:color="DC001B" w:themeColor="accent3" w:themeShade="80"/>
          <w:insideH w:val="single" w:sz="4" w:space="0" w:color="DC001B" w:themeColor="accent3" w:themeShade="80"/>
          <w:insideV w:val="single" w:sz="4" w:space="0" w:color="DC001B" w:themeColor="accent3" w:themeShade="80"/>
        </w:tcBorders>
        <w:shd w:val="clear" w:color="auto" w:fill="FFB8C1" w:themeFill="accent3"/>
      </w:tcPr>
    </w:tblStylePr>
    <w:tblStylePr w:type="lastRow">
      <w:rPr>
        <w:b w:val="0"/>
        <w:bCs/>
      </w:rPr>
      <w:tblPr/>
      <w:tcPr>
        <w:tcBorders>
          <w:top w:val="single" w:sz="4" w:space="0" w:color="DC001B" w:themeColor="accent3" w:themeShade="80"/>
          <w:left w:val="single" w:sz="4" w:space="0" w:color="DC001B" w:themeColor="accent3" w:themeShade="80"/>
          <w:bottom w:val="single" w:sz="4" w:space="0" w:color="DC001B" w:themeColor="accent3" w:themeShade="80"/>
          <w:right w:val="single" w:sz="4" w:space="0" w:color="DC001B" w:themeColor="accent3" w:themeShade="80"/>
          <w:insideH w:val="single" w:sz="4" w:space="0" w:color="DC001B" w:themeColor="accent3" w:themeShade="80"/>
          <w:insideV w:val="single" w:sz="4" w:space="0" w:color="DC001B" w:themeColor="accent3" w:themeShade="80"/>
        </w:tcBorders>
        <w:shd w:val="clear" w:color="auto" w:fill="FFFFFF" w:themeFill="background1"/>
      </w:tcPr>
    </w:tblStylePr>
    <w:tblStylePr w:type="firstCol">
      <w:rPr>
        <w:b w:val="0"/>
        <w:bCs/>
      </w:rPr>
      <w:tblPr/>
      <w:tcPr>
        <w:tcBorders>
          <w:top w:val="single" w:sz="4" w:space="0" w:color="DC001B" w:themeColor="accent3" w:themeShade="80"/>
          <w:left w:val="single" w:sz="4" w:space="0" w:color="DC001B" w:themeColor="accent3" w:themeShade="80"/>
          <w:bottom w:val="single" w:sz="4" w:space="0" w:color="DC001B" w:themeColor="accent3" w:themeShade="80"/>
          <w:right w:val="single" w:sz="4" w:space="0" w:color="DC001B" w:themeColor="accent3" w:themeShade="80"/>
          <w:insideH w:val="single" w:sz="4" w:space="0" w:color="DC001B" w:themeColor="accent3" w:themeShade="80"/>
          <w:insideV w:val="single" w:sz="4" w:space="0" w:color="DC001B" w:themeColor="accent3" w:themeShade="80"/>
        </w:tcBorders>
        <w:shd w:val="clear" w:color="auto" w:fill="FFFFFF" w:themeFill="background1"/>
      </w:tcPr>
    </w:tblStylePr>
    <w:tblStylePr w:type="lastCol">
      <w:rPr>
        <w:b w:val="0"/>
        <w:bCs/>
      </w:rPr>
      <w:tblPr/>
      <w:tcPr>
        <w:tcBorders>
          <w:top w:val="single" w:sz="4" w:space="0" w:color="DC001B" w:themeColor="accent3" w:themeShade="80"/>
          <w:left w:val="single" w:sz="4" w:space="0" w:color="DC001B" w:themeColor="accent3" w:themeShade="80"/>
          <w:bottom w:val="single" w:sz="4" w:space="0" w:color="DC001B" w:themeColor="accent3" w:themeShade="80"/>
          <w:right w:val="single" w:sz="4" w:space="0" w:color="DC001B" w:themeColor="accent3" w:themeShade="80"/>
          <w:insideH w:val="single" w:sz="4" w:space="0" w:color="DC001B" w:themeColor="accent3" w:themeShade="80"/>
          <w:insideV w:val="single" w:sz="4" w:space="0" w:color="DC001B" w:themeColor="accent3" w:themeShade="80"/>
        </w:tcBorders>
        <w:shd w:val="clear" w:color="auto" w:fill="FFFFFF" w:themeFill="background1"/>
      </w:tcPr>
    </w:tblStylePr>
    <w:tblStylePr w:type="band1Vert">
      <w:tblPr/>
      <w:tcPr>
        <w:tcBorders>
          <w:top w:val="single" w:sz="4" w:space="0" w:color="DC001B" w:themeColor="accent3" w:themeShade="80"/>
          <w:left w:val="single" w:sz="4" w:space="0" w:color="DC001B" w:themeColor="accent3" w:themeShade="80"/>
          <w:bottom w:val="single" w:sz="4" w:space="0" w:color="DC001B" w:themeColor="accent3" w:themeShade="80"/>
          <w:right w:val="single" w:sz="4" w:space="0" w:color="DC001B" w:themeColor="accent3" w:themeShade="80"/>
          <w:insideH w:val="single" w:sz="4" w:space="0" w:color="DC001B" w:themeColor="accent3" w:themeShade="80"/>
          <w:insideV w:val="single" w:sz="4" w:space="0" w:color="DC001B" w:themeColor="accent3" w:themeShade="80"/>
        </w:tcBorders>
      </w:tcPr>
    </w:tblStylePr>
    <w:tblStylePr w:type="band2Vert">
      <w:tblPr/>
      <w:tcPr>
        <w:tcBorders>
          <w:top w:val="single" w:sz="4" w:space="0" w:color="DC001B" w:themeColor="accent3" w:themeShade="80"/>
          <w:left w:val="single" w:sz="4" w:space="0" w:color="DC001B" w:themeColor="accent3" w:themeShade="80"/>
          <w:bottom w:val="single" w:sz="4" w:space="0" w:color="DC001B" w:themeColor="accent3" w:themeShade="80"/>
          <w:right w:val="single" w:sz="4" w:space="0" w:color="DC001B" w:themeColor="accent3" w:themeShade="80"/>
          <w:insideH w:val="single" w:sz="4" w:space="0" w:color="DC001B" w:themeColor="accent3" w:themeShade="80"/>
          <w:insideV w:val="single" w:sz="4" w:space="0" w:color="DC001B" w:themeColor="accent3" w:themeShade="80"/>
        </w:tcBorders>
      </w:tcPr>
    </w:tblStylePr>
    <w:tblStylePr w:type="band1Horz">
      <w:tblPr/>
      <w:tcPr>
        <w:tcBorders>
          <w:top w:val="single" w:sz="4" w:space="0" w:color="DC001B" w:themeColor="accent3" w:themeShade="80"/>
          <w:left w:val="single" w:sz="4" w:space="0" w:color="DC001B" w:themeColor="accent3" w:themeShade="80"/>
          <w:bottom w:val="single" w:sz="4" w:space="0" w:color="DC001B" w:themeColor="accent3" w:themeShade="80"/>
          <w:right w:val="single" w:sz="4" w:space="0" w:color="DC001B" w:themeColor="accent3" w:themeShade="80"/>
          <w:insideH w:val="single" w:sz="4" w:space="0" w:color="DC001B" w:themeColor="accent3" w:themeShade="80"/>
          <w:insideV w:val="single" w:sz="4" w:space="0" w:color="DC001B" w:themeColor="accent3" w:themeShade="80"/>
        </w:tcBorders>
      </w:tcPr>
    </w:tblStylePr>
    <w:tblStylePr w:type="band2Horz">
      <w:tblPr/>
      <w:tcPr>
        <w:tcBorders>
          <w:top w:val="single" w:sz="4" w:space="0" w:color="DC001B" w:themeColor="accent3" w:themeShade="80"/>
          <w:left w:val="single" w:sz="4" w:space="0" w:color="DC001B" w:themeColor="accent3" w:themeShade="80"/>
          <w:bottom w:val="single" w:sz="4" w:space="0" w:color="DC001B" w:themeColor="accent3" w:themeShade="80"/>
          <w:right w:val="single" w:sz="4" w:space="0" w:color="DC001B" w:themeColor="accent3" w:themeShade="80"/>
          <w:insideH w:val="single" w:sz="4" w:space="0" w:color="DC001B" w:themeColor="accent3" w:themeShade="80"/>
          <w:insideV w:val="single" w:sz="4" w:space="0" w:color="DC001B" w:themeColor="accent3" w:themeShade="80"/>
        </w:tcBorders>
      </w:tcPr>
    </w:tblStylePr>
    <w:tblStylePr w:type="neCell">
      <w:tblPr/>
      <w:tcPr>
        <w:tcBorders>
          <w:top w:val="single" w:sz="4" w:space="0" w:color="DC001B" w:themeColor="accent3" w:themeShade="80"/>
          <w:left w:val="single" w:sz="4" w:space="0" w:color="DC001B" w:themeColor="accent3" w:themeShade="80"/>
          <w:bottom w:val="single" w:sz="4" w:space="0" w:color="DC001B" w:themeColor="accent3" w:themeShade="80"/>
          <w:right w:val="single" w:sz="4" w:space="0" w:color="DC001B" w:themeColor="accent3" w:themeShade="80"/>
          <w:insideH w:val="single" w:sz="4" w:space="0" w:color="DC001B" w:themeColor="accent3" w:themeShade="80"/>
          <w:insideV w:val="single" w:sz="4" w:space="0" w:color="DC001B" w:themeColor="accent3" w:themeShade="80"/>
        </w:tcBorders>
      </w:tcPr>
    </w:tblStylePr>
    <w:tblStylePr w:type="nwCell">
      <w:tblPr/>
      <w:tcPr>
        <w:tcBorders>
          <w:top w:val="single" w:sz="4" w:space="0" w:color="DC001B" w:themeColor="accent3" w:themeShade="80"/>
          <w:left w:val="single" w:sz="4" w:space="0" w:color="DC001B" w:themeColor="accent3" w:themeShade="80"/>
          <w:bottom w:val="single" w:sz="4" w:space="0" w:color="DC001B" w:themeColor="accent3" w:themeShade="80"/>
          <w:right w:val="single" w:sz="4" w:space="0" w:color="DC001B" w:themeColor="accent3" w:themeShade="80"/>
          <w:insideH w:val="single" w:sz="4" w:space="0" w:color="DC001B" w:themeColor="accent3" w:themeShade="80"/>
          <w:insideV w:val="single" w:sz="4" w:space="0" w:color="DC001B" w:themeColor="accent3" w:themeShade="80"/>
        </w:tcBorders>
      </w:tcPr>
    </w:tblStylePr>
    <w:tblStylePr w:type="seCell">
      <w:tblPr/>
      <w:tcPr>
        <w:tcBorders>
          <w:top w:val="single" w:sz="4" w:space="0" w:color="DC001B" w:themeColor="accent3" w:themeShade="80"/>
          <w:left w:val="single" w:sz="4" w:space="0" w:color="DC001B" w:themeColor="accent3" w:themeShade="80"/>
          <w:bottom w:val="single" w:sz="4" w:space="0" w:color="DC001B" w:themeColor="accent3" w:themeShade="80"/>
          <w:right w:val="single" w:sz="4" w:space="0" w:color="DC001B" w:themeColor="accent3" w:themeShade="80"/>
          <w:insideH w:val="single" w:sz="4" w:space="0" w:color="DC001B" w:themeColor="accent3" w:themeShade="80"/>
          <w:insideV w:val="single" w:sz="4" w:space="0" w:color="DC001B" w:themeColor="accent3" w:themeShade="80"/>
        </w:tcBorders>
      </w:tcPr>
    </w:tblStylePr>
    <w:tblStylePr w:type="swCell">
      <w:tblPr/>
      <w:tcPr>
        <w:tcBorders>
          <w:top w:val="single" w:sz="4" w:space="0" w:color="DC001B" w:themeColor="accent3" w:themeShade="80"/>
          <w:left w:val="single" w:sz="4" w:space="0" w:color="DC001B" w:themeColor="accent3" w:themeShade="80"/>
          <w:bottom w:val="single" w:sz="4" w:space="0" w:color="DC001B" w:themeColor="accent3" w:themeShade="80"/>
          <w:right w:val="single" w:sz="4" w:space="0" w:color="DC001B" w:themeColor="accent3" w:themeShade="80"/>
          <w:insideH w:val="single" w:sz="4" w:space="0" w:color="DC001B" w:themeColor="accent3" w:themeShade="80"/>
          <w:insideV w:val="single" w:sz="4" w:space="0" w:color="DC001B" w:themeColor="accent3" w:themeShade="80"/>
        </w:tcBorders>
      </w:tcPr>
    </w:tblStylePr>
  </w:style>
  <w:style w:type="table" w:styleId="ListTable3-Accent4">
    <w:name w:val="List Table 3 Accent 4"/>
    <w:basedOn w:val="TableNormal"/>
    <w:uiPriority w:val="48"/>
    <w:rsid w:val="00BE28F1"/>
    <w:pPr>
      <w:spacing w:after="0" w:line="240" w:lineRule="auto"/>
    </w:pPr>
    <w:rPr>
      <w:sz w:val="20"/>
    </w:rPr>
    <w:tblPr>
      <w:tblStyleRowBandSize w:val="1"/>
      <w:tblStyleColBandSize w:val="1"/>
      <w:tblBorders>
        <w:top w:val="single" w:sz="4" w:space="0" w:color="FFB8C1" w:themeColor="accent3"/>
        <w:left w:val="single" w:sz="4" w:space="0" w:color="FFB8C1" w:themeColor="accent3"/>
        <w:bottom w:val="single" w:sz="4" w:space="0" w:color="FFB8C1" w:themeColor="accent3"/>
        <w:right w:val="single" w:sz="4" w:space="0" w:color="FFB8C1" w:themeColor="accent3"/>
        <w:insideH w:val="single" w:sz="4" w:space="0" w:color="FFB8C1" w:themeColor="accent3"/>
        <w:insideV w:val="single" w:sz="4" w:space="0" w:color="FFB8C1" w:themeColor="accent3"/>
      </w:tblBorders>
    </w:tblPr>
    <w:tcPr>
      <w:shd w:val="clear" w:color="auto" w:fill="FFFFFF" w:themeFill="background1"/>
    </w:tcPr>
    <w:tblStylePr w:type="firstRow">
      <w:rPr>
        <w:b/>
        <w:bCs/>
        <w:color w:val="FFFFFF" w:themeColor="background1"/>
      </w:rPr>
      <w:tblPr/>
      <w:trPr>
        <w:tblHeader/>
      </w:trPr>
      <w:tcPr>
        <w:tcBorders>
          <w:top w:val="single" w:sz="4" w:space="0" w:color="FFB8C1" w:themeColor="accent3"/>
          <w:left w:val="single" w:sz="4" w:space="0" w:color="FFB8C1" w:themeColor="accent3"/>
          <w:bottom w:val="single" w:sz="4" w:space="0" w:color="FFB8C1" w:themeColor="accent3"/>
          <w:right w:val="single" w:sz="4" w:space="0" w:color="FFB8C1" w:themeColor="accent3"/>
          <w:insideH w:val="single" w:sz="4" w:space="0" w:color="FFB8C1" w:themeColor="accent3"/>
          <w:insideV w:val="single" w:sz="4" w:space="0" w:color="FFB8C1" w:themeColor="accent3"/>
        </w:tcBorders>
        <w:shd w:val="clear" w:color="auto" w:fill="FFE6EA" w:themeFill="accent4"/>
      </w:tcPr>
    </w:tblStylePr>
    <w:tblStylePr w:type="lastRow">
      <w:rPr>
        <w:b w:val="0"/>
        <w:bCs/>
      </w:rPr>
      <w:tblPr/>
      <w:tcPr>
        <w:tcBorders>
          <w:top w:val="single" w:sz="4" w:space="0" w:color="FFB8C1" w:themeColor="accent3"/>
          <w:left w:val="single" w:sz="4" w:space="0" w:color="FFB8C1" w:themeColor="accent3"/>
          <w:bottom w:val="single" w:sz="4" w:space="0" w:color="FFB8C1" w:themeColor="accent3"/>
          <w:right w:val="single" w:sz="4" w:space="0" w:color="FFB8C1" w:themeColor="accent3"/>
          <w:insideH w:val="single" w:sz="4" w:space="0" w:color="FFB8C1" w:themeColor="accent3"/>
          <w:insideV w:val="single" w:sz="4" w:space="0" w:color="FFB8C1" w:themeColor="accent3"/>
        </w:tcBorders>
        <w:shd w:val="clear" w:color="auto" w:fill="FFFFFF" w:themeFill="background1"/>
      </w:tcPr>
    </w:tblStylePr>
    <w:tblStylePr w:type="firstCol">
      <w:rPr>
        <w:b w:val="0"/>
        <w:bCs/>
      </w:rPr>
      <w:tblPr/>
      <w:tcPr>
        <w:tcBorders>
          <w:top w:val="single" w:sz="4" w:space="0" w:color="FFB8C1" w:themeColor="accent3"/>
          <w:left w:val="single" w:sz="4" w:space="0" w:color="FFB8C1" w:themeColor="accent3"/>
          <w:bottom w:val="single" w:sz="4" w:space="0" w:color="FFB8C1" w:themeColor="accent3"/>
          <w:right w:val="single" w:sz="4" w:space="0" w:color="FFB8C1" w:themeColor="accent3"/>
          <w:insideH w:val="single" w:sz="4" w:space="0" w:color="FFB8C1" w:themeColor="accent3"/>
          <w:insideV w:val="single" w:sz="4" w:space="0" w:color="FFB8C1" w:themeColor="accent3"/>
        </w:tcBorders>
        <w:shd w:val="clear" w:color="auto" w:fill="FFFFFF" w:themeFill="background1"/>
      </w:tcPr>
    </w:tblStylePr>
    <w:tblStylePr w:type="lastCol">
      <w:rPr>
        <w:b w:val="0"/>
        <w:bCs/>
      </w:rPr>
      <w:tblPr/>
      <w:tcPr>
        <w:tcBorders>
          <w:top w:val="single" w:sz="4" w:space="0" w:color="FFB8C1" w:themeColor="accent3"/>
          <w:left w:val="single" w:sz="4" w:space="0" w:color="FFB8C1" w:themeColor="accent3"/>
          <w:bottom w:val="single" w:sz="4" w:space="0" w:color="FFB8C1" w:themeColor="accent3"/>
          <w:right w:val="single" w:sz="4" w:space="0" w:color="FFB8C1" w:themeColor="accent3"/>
          <w:insideH w:val="single" w:sz="4" w:space="0" w:color="FFB8C1" w:themeColor="accent3"/>
          <w:insideV w:val="single" w:sz="4" w:space="0" w:color="FFB8C1" w:themeColor="accent3"/>
        </w:tcBorders>
        <w:shd w:val="clear" w:color="auto" w:fill="FFFFFF" w:themeFill="background1"/>
      </w:tcPr>
    </w:tblStylePr>
    <w:tblStylePr w:type="band1Vert">
      <w:tblPr/>
      <w:tcPr>
        <w:tcBorders>
          <w:top w:val="single" w:sz="4" w:space="0" w:color="FFB8C1" w:themeColor="accent3"/>
          <w:left w:val="single" w:sz="4" w:space="0" w:color="FFB8C1" w:themeColor="accent3"/>
          <w:bottom w:val="single" w:sz="4" w:space="0" w:color="FFB8C1" w:themeColor="accent3"/>
          <w:right w:val="single" w:sz="4" w:space="0" w:color="FFB8C1" w:themeColor="accent3"/>
          <w:insideH w:val="single" w:sz="4" w:space="0" w:color="FFB8C1" w:themeColor="accent3"/>
          <w:insideV w:val="single" w:sz="4" w:space="0" w:color="FFB8C1" w:themeColor="accent3"/>
        </w:tcBorders>
      </w:tcPr>
    </w:tblStylePr>
    <w:tblStylePr w:type="band2Vert">
      <w:tblPr/>
      <w:tcPr>
        <w:tcBorders>
          <w:top w:val="single" w:sz="4" w:space="0" w:color="FFB8C1" w:themeColor="accent3"/>
          <w:left w:val="single" w:sz="4" w:space="0" w:color="FFB8C1" w:themeColor="accent3"/>
          <w:bottom w:val="single" w:sz="4" w:space="0" w:color="FFB8C1" w:themeColor="accent3"/>
          <w:right w:val="single" w:sz="4" w:space="0" w:color="FFB8C1" w:themeColor="accent3"/>
          <w:insideH w:val="single" w:sz="4" w:space="0" w:color="FFB8C1" w:themeColor="accent3"/>
          <w:insideV w:val="single" w:sz="4" w:space="0" w:color="FFB8C1" w:themeColor="accent3"/>
        </w:tcBorders>
      </w:tcPr>
    </w:tblStylePr>
    <w:tblStylePr w:type="band1Horz">
      <w:tblPr/>
      <w:tcPr>
        <w:tcBorders>
          <w:top w:val="single" w:sz="4" w:space="0" w:color="FFB8C1" w:themeColor="accent3"/>
          <w:left w:val="single" w:sz="4" w:space="0" w:color="FFB8C1" w:themeColor="accent3"/>
          <w:bottom w:val="single" w:sz="4" w:space="0" w:color="FFB8C1" w:themeColor="accent3"/>
          <w:right w:val="single" w:sz="4" w:space="0" w:color="FFB8C1" w:themeColor="accent3"/>
          <w:insideH w:val="single" w:sz="4" w:space="0" w:color="FFB8C1" w:themeColor="accent3"/>
          <w:insideV w:val="single" w:sz="4" w:space="0" w:color="FFB8C1" w:themeColor="accent3"/>
        </w:tcBorders>
      </w:tcPr>
    </w:tblStylePr>
    <w:tblStylePr w:type="band2Horz">
      <w:tblPr/>
      <w:tcPr>
        <w:tcBorders>
          <w:top w:val="single" w:sz="4" w:space="0" w:color="FFB8C1" w:themeColor="accent3"/>
          <w:left w:val="single" w:sz="4" w:space="0" w:color="FFB8C1" w:themeColor="accent3"/>
          <w:bottom w:val="single" w:sz="4" w:space="0" w:color="FFB8C1" w:themeColor="accent3"/>
          <w:right w:val="single" w:sz="4" w:space="0" w:color="FFB8C1" w:themeColor="accent3"/>
          <w:insideH w:val="single" w:sz="4" w:space="0" w:color="FFB8C1" w:themeColor="accent3"/>
          <w:insideV w:val="single" w:sz="4" w:space="0" w:color="FFB8C1" w:themeColor="accent3"/>
        </w:tcBorders>
      </w:tcPr>
    </w:tblStylePr>
    <w:tblStylePr w:type="neCell">
      <w:tblPr/>
      <w:tcPr>
        <w:tcBorders>
          <w:top w:val="single" w:sz="4" w:space="0" w:color="FFB8C1" w:themeColor="accent3"/>
          <w:left w:val="single" w:sz="4" w:space="0" w:color="FFB8C1" w:themeColor="accent3"/>
          <w:bottom w:val="single" w:sz="4" w:space="0" w:color="FFB8C1" w:themeColor="accent3"/>
          <w:right w:val="single" w:sz="4" w:space="0" w:color="FFB8C1" w:themeColor="accent3"/>
          <w:insideH w:val="single" w:sz="4" w:space="0" w:color="FFB8C1" w:themeColor="accent3"/>
          <w:insideV w:val="single" w:sz="4" w:space="0" w:color="FFB8C1" w:themeColor="accent3"/>
        </w:tcBorders>
      </w:tcPr>
    </w:tblStylePr>
    <w:tblStylePr w:type="nwCell">
      <w:tblPr/>
      <w:tcPr>
        <w:tcBorders>
          <w:top w:val="single" w:sz="4" w:space="0" w:color="FFB8C1" w:themeColor="accent3"/>
          <w:left w:val="single" w:sz="4" w:space="0" w:color="FFB8C1" w:themeColor="accent3"/>
          <w:bottom w:val="single" w:sz="4" w:space="0" w:color="FFB8C1" w:themeColor="accent3"/>
          <w:right w:val="single" w:sz="4" w:space="0" w:color="FFB8C1" w:themeColor="accent3"/>
          <w:insideH w:val="single" w:sz="4" w:space="0" w:color="FFB8C1" w:themeColor="accent3"/>
          <w:insideV w:val="single" w:sz="4" w:space="0" w:color="FFB8C1" w:themeColor="accent3"/>
        </w:tcBorders>
      </w:tcPr>
    </w:tblStylePr>
    <w:tblStylePr w:type="seCell">
      <w:tblPr/>
      <w:tcPr>
        <w:tcBorders>
          <w:top w:val="single" w:sz="4" w:space="0" w:color="FFB8C1" w:themeColor="accent3"/>
          <w:left w:val="single" w:sz="4" w:space="0" w:color="FFB8C1" w:themeColor="accent3"/>
          <w:bottom w:val="single" w:sz="4" w:space="0" w:color="FFB8C1" w:themeColor="accent3"/>
          <w:right w:val="single" w:sz="4" w:space="0" w:color="FFB8C1" w:themeColor="accent3"/>
          <w:insideH w:val="single" w:sz="4" w:space="0" w:color="FFB8C1" w:themeColor="accent3"/>
          <w:insideV w:val="single" w:sz="4" w:space="0" w:color="FFB8C1" w:themeColor="accent3"/>
        </w:tcBorders>
      </w:tcPr>
    </w:tblStylePr>
    <w:tblStylePr w:type="swCell">
      <w:tblPr/>
      <w:tcPr>
        <w:tcBorders>
          <w:top w:val="single" w:sz="4" w:space="0" w:color="FFB8C1" w:themeColor="accent3"/>
          <w:left w:val="single" w:sz="4" w:space="0" w:color="FFB8C1" w:themeColor="accent3"/>
          <w:bottom w:val="single" w:sz="4" w:space="0" w:color="FFB8C1" w:themeColor="accent3"/>
          <w:right w:val="single" w:sz="4" w:space="0" w:color="FFB8C1" w:themeColor="accent3"/>
          <w:insideH w:val="single" w:sz="4" w:space="0" w:color="FFB8C1" w:themeColor="accent3"/>
          <w:insideV w:val="single" w:sz="4" w:space="0" w:color="FFB8C1" w:themeColor="accent3"/>
        </w:tcBorders>
      </w:tcPr>
    </w:tblStylePr>
  </w:style>
  <w:style w:type="table" w:styleId="ListTable3-Accent5">
    <w:name w:val="List Table 3 Accent 5"/>
    <w:basedOn w:val="TableNormal"/>
    <w:uiPriority w:val="48"/>
    <w:rsid w:val="006D2F45"/>
    <w:pPr>
      <w:spacing w:after="0" w:line="240" w:lineRule="auto"/>
    </w:pPr>
    <w:rPr>
      <w:sz w:val="20"/>
    </w:rPr>
    <w:tblPr>
      <w:tblStyleRowBandSize w:val="1"/>
      <w:tblStyleColBandSize w:val="1"/>
      <w:tblBorders>
        <w:top w:val="single" w:sz="4" w:space="0" w:color="FAAF05" w:themeColor="accent5"/>
        <w:left w:val="single" w:sz="4" w:space="0" w:color="FAAF05" w:themeColor="accent5"/>
        <w:bottom w:val="single" w:sz="4" w:space="0" w:color="FAAF05" w:themeColor="accent5"/>
        <w:right w:val="single" w:sz="4" w:space="0" w:color="FAAF05" w:themeColor="accent5"/>
        <w:insideH w:val="single" w:sz="4" w:space="0" w:color="FAAF05" w:themeColor="accent5"/>
        <w:insideV w:val="single" w:sz="4" w:space="0" w:color="FAAF05" w:themeColor="accent5"/>
      </w:tblBorders>
    </w:tblPr>
    <w:tcPr>
      <w:shd w:val="clear" w:color="auto" w:fill="FFFFFF" w:themeFill="background1"/>
    </w:tcPr>
    <w:tblStylePr w:type="firstRow">
      <w:rPr>
        <w:b/>
        <w:bCs/>
        <w:color w:val="FFFFFF" w:themeColor="background1"/>
      </w:rPr>
      <w:tblPr/>
      <w:trPr>
        <w:tblHeader/>
      </w:trPr>
      <w:tcPr>
        <w:tcBorders>
          <w:top w:val="single" w:sz="4" w:space="0" w:color="FAAF05" w:themeColor="accent5"/>
          <w:left w:val="single" w:sz="4" w:space="0" w:color="FAAF05" w:themeColor="accent5"/>
          <w:bottom w:val="single" w:sz="4" w:space="0" w:color="FAAF05" w:themeColor="accent5"/>
          <w:right w:val="single" w:sz="4" w:space="0" w:color="FAAF05" w:themeColor="accent5"/>
          <w:insideH w:val="single" w:sz="4" w:space="0" w:color="FAAF05" w:themeColor="accent5"/>
          <w:insideV w:val="single" w:sz="4" w:space="0" w:color="FAAF05" w:themeColor="accent5"/>
        </w:tcBorders>
        <w:shd w:val="clear" w:color="auto" w:fill="F2F2F2" w:themeFill="background1" w:themeFillShade="F2"/>
      </w:tcPr>
    </w:tblStylePr>
    <w:tblStylePr w:type="lastRow">
      <w:rPr>
        <w:b w:val="0"/>
        <w:bCs/>
      </w:rPr>
      <w:tblPr/>
      <w:tcPr>
        <w:tcBorders>
          <w:top w:val="double" w:sz="4" w:space="0" w:color="FAAF05" w:themeColor="accent5"/>
        </w:tcBorders>
        <w:shd w:val="clear" w:color="auto" w:fill="FFFFFF" w:themeFill="background1"/>
      </w:tcPr>
    </w:tblStylePr>
    <w:tblStylePr w:type="firstCol">
      <w:rPr>
        <w:b w:val="0"/>
        <w:bCs/>
      </w:rPr>
      <w:tblPr/>
      <w:tcPr>
        <w:tcBorders>
          <w:top w:val="single" w:sz="4" w:space="0" w:color="FAAF05" w:themeColor="accent5"/>
          <w:left w:val="single" w:sz="4" w:space="0" w:color="FAAF05" w:themeColor="accent5"/>
          <w:bottom w:val="single" w:sz="4" w:space="0" w:color="FAAF05" w:themeColor="accent5"/>
          <w:right w:val="single" w:sz="4" w:space="0" w:color="FAAF05" w:themeColor="accent5"/>
          <w:insideH w:val="single" w:sz="4" w:space="0" w:color="FAAF05" w:themeColor="accent5"/>
          <w:insideV w:val="single" w:sz="4" w:space="0" w:color="FAAF05" w:themeColor="accent5"/>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FAAF05" w:themeColor="accent5"/>
          <w:right w:val="single" w:sz="4" w:space="0" w:color="FAAF05" w:themeColor="accent5"/>
        </w:tcBorders>
      </w:tcPr>
    </w:tblStylePr>
    <w:tblStylePr w:type="band1Horz">
      <w:tblPr/>
      <w:tcPr>
        <w:tcBorders>
          <w:top w:val="single" w:sz="4" w:space="0" w:color="FAAF05" w:themeColor="accent5"/>
          <w:bottom w:val="single" w:sz="4" w:space="0" w:color="FAAF05" w:themeColor="accent5"/>
          <w:insideH w:val="nil"/>
        </w:tcBorders>
      </w:tcPr>
    </w:tblStylePr>
    <w:tblStylePr w:type="neCell">
      <w:tblPr/>
      <w:tcPr>
        <w:tcBorders>
          <w:left w:val="nil"/>
          <w:bottom w:val="nil"/>
        </w:tcBorders>
      </w:tcPr>
    </w:tblStylePr>
    <w:tblStylePr w:type="nwCell">
      <w:tblPr/>
      <w:tcPr>
        <w:tcBorders>
          <w:top w:val="single" w:sz="4" w:space="0" w:color="FAAF05" w:themeColor="accent5"/>
          <w:left w:val="single" w:sz="4" w:space="0" w:color="FAAF05" w:themeColor="accent5"/>
          <w:bottom w:val="single" w:sz="4" w:space="0" w:color="FAAF05" w:themeColor="accent5"/>
          <w:right w:val="single" w:sz="4" w:space="0" w:color="FAAF05" w:themeColor="accent5"/>
          <w:insideH w:val="single" w:sz="4" w:space="0" w:color="FAAF05" w:themeColor="accent5"/>
          <w:insideV w:val="single" w:sz="4" w:space="0" w:color="FAAF05" w:themeColor="accent5"/>
        </w:tcBorders>
      </w:tcPr>
    </w:tblStylePr>
    <w:tblStylePr w:type="seCell">
      <w:tblPr/>
      <w:tcPr>
        <w:tcBorders>
          <w:top w:val="double" w:sz="4" w:space="0" w:color="FAAF05" w:themeColor="accent5"/>
          <w:left w:val="nil"/>
        </w:tcBorders>
      </w:tcPr>
    </w:tblStylePr>
    <w:tblStylePr w:type="swCell">
      <w:tblPr/>
      <w:tcPr>
        <w:tcBorders>
          <w:top w:val="double" w:sz="4" w:space="0" w:color="FAAF05" w:themeColor="accent5"/>
          <w:right w:val="nil"/>
        </w:tcBorders>
      </w:tcPr>
    </w:tblStylePr>
  </w:style>
  <w:style w:type="table" w:styleId="ListTable3-Accent6">
    <w:name w:val="List Table 3 Accent 6"/>
    <w:basedOn w:val="TableNormal"/>
    <w:uiPriority w:val="48"/>
    <w:rsid w:val="00BE28F1"/>
    <w:pPr>
      <w:spacing w:after="0" w:line="240" w:lineRule="auto"/>
    </w:pPr>
    <w:rPr>
      <w:sz w:val="20"/>
    </w:rPr>
    <w:tblPr>
      <w:tblStyleRowBandSize w:val="1"/>
      <w:tblStyleColBandSize w:val="1"/>
      <w:tblBorders>
        <w:top w:val="single" w:sz="4" w:space="0" w:color="E7B200" w:themeColor="accent6" w:themeShade="80"/>
        <w:left w:val="single" w:sz="4" w:space="0" w:color="E7B200" w:themeColor="accent6" w:themeShade="80"/>
        <w:bottom w:val="single" w:sz="4" w:space="0" w:color="E7B200" w:themeColor="accent6" w:themeShade="80"/>
        <w:right w:val="single" w:sz="4" w:space="0" w:color="E7B200" w:themeColor="accent6" w:themeShade="80"/>
        <w:insideH w:val="single" w:sz="4" w:space="0" w:color="E7B200" w:themeColor="accent6" w:themeShade="80"/>
        <w:insideV w:val="single" w:sz="4" w:space="0" w:color="E7B200" w:themeColor="accent6" w:themeShade="80"/>
      </w:tblBorders>
    </w:tblPr>
    <w:tcPr>
      <w:shd w:val="clear" w:color="auto" w:fill="FFFFFF" w:themeFill="background1"/>
    </w:tcPr>
    <w:tblStylePr w:type="firstRow">
      <w:rPr>
        <w:b/>
        <w:bCs/>
        <w:color w:val="FFFFFF" w:themeColor="background1"/>
      </w:rPr>
      <w:tblPr/>
      <w:trPr>
        <w:tblHeader/>
      </w:trPr>
      <w:tcPr>
        <w:shd w:val="clear" w:color="auto" w:fill="FFF4CF" w:themeFill="accent6"/>
      </w:tcPr>
    </w:tblStylePr>
    <w:tblStylePr w:type="lastRow">
      <w:rPr>
        <w:b w:val="0"/>
        <w:bCs/>
      </w:rPr>
      <w:tblPr/>
      <w:tcPr>
        <w:tcBorders>
          <w:top w:val="single" w:sz="4" w:space="0" w:color="E7B200" w:themeColor="accent6" w:themeShade="80"/>
          <w:left w:val="single" w:sz="4" w:space="0" w:color="E7B200" w:themeColor="accent6" w:themeShade="80"/>
          <w:bottom w:val="single" w:sz="4" w:space="0" w:color="E7B200" w:themeColor="accent6" w:themeShade="80"/>
          <w:right w:val="single" w:sz="4" w:space="0" w:color="E7B200" w:themeColor="accent6" w:themeShade="80"/>
          <w:insideH w:val="single" w:sz="4" w:space="0" w:color="E7B200" w:themeColor="accent6" w:themeShade="80"/>
          <w:insideV w:val="single" w:sz="4" w:space="0" w:color="E7B200" w:themeColor="accent6" w:themeShade="80"/>
        </w:tcBorders>
        <w:shd w:val="clear" w:color="auto" w:fill="FFFFFF" w:themeFill="background1"/>
      </w:tcPr>
    </w:tblStylePr>
    <w:tblStylePr w:type="firstCol">
      <w:rPr>
        <w:b w:val="0"/>
        <w:bCs/>
      </w:rPr>
      <w:tblPr/>
      <w:tcPr>
        <w:tcBorders>
          <w:top w:val="single" w:sz="4" w:space="0" w:color="E7B200" w:themeColor="accent6" w:themeShade="80"/>
          <w:left w:val="single" w:sz="4" w:space="0" w:color="E7B200" w:themeColor="accent6" w:themeShade="80"/>
          <w:bottom w:val="single" w:sz="4" w:space="0" w:color="E7B200" w:themeColor="accent6" w:themeShade="80"/>
          <w:right w:val="single" w:sz="4" w:space="0" w:color="E7B200" w:themeColor="accent6" w:themeShade="80"/>
          <w:insideH w:val="single" w:sz="4" w:space="0" w:color="E7B200" w:themeColor="accent6" w:themeShade="80"/>
          <w:insideV w:val="single" w:sz="4" w:space="0" w:color="E7B200" w:themeColor="accent6" w:themeShade="80"/>
        </w:tcBorders>
        <w:shd w:val="clear" w:color="auto" w:fill="FFFFFF" w:themeFill="background1"/>
      </w:tcPr>
    </w:tblStylePr>
    <w:tblStylePr w:type="lastCol">
      <w:rPr>
        <w:b w:val="0"/>
        <w:bCs/>
      </w:rPr>
      <w:tblPr/>
      <w:tcPr>
        <w:tcBorders>
          <w:top w:val="single" w:sz="4" w:space="0" w:color="E7B200" w:themeColor="accent6" w:themeShade="80"/>
          <w:left w:val="single" w:sz="4" w:space="0" w:color="E7B200" w:themeColor="accent6" w:themeShade="80"/>
          <w:bottom w:val="single" w:sz="4" w:space="0" w:color="E7B200" w:themeColor="accent6" w:themeShade="80"/>
          <w:right w:val="single" w:sz="4" w:space="0" w:color="E7B200" w:themeColor="accent6" w:themeShade="80"/>
          <w:insideH w:val="single" w:sz="4" w:space="0" w:color="E7B200" w:themeColor="accent6" w:themeShade="80"/>
          <w:insideV w:val="single" w:sz="4" w:space="0" w:color="E7B200" w:themeColor="accent6" w:themeShade="80"/>
        </w:tcBorders>
        <w:shd w:val="clear" w:color="auto" w:fill="FFFFFF" w:themeFill="background1"/>
      </w:tcPr>
    </w:tblStylePr>
    <w:tblStylePr w:type="band1Vert">
      <w:tblPr/>
      <w:tcPr>
        <w:tcBorders>
          <w:top w:val="single" w:sz="4" w:space="0" w:color="E7B200" w:themeColor="accent6" w:themeShade="80"/>
          <w:left w:val="single" w:sz="4" w:space="0" w:color="E7B200" w:themeColor="accent6" w:themeShade="80"/>
          <w:bottom w:val="single" w:sz="4" w:space="0" w:color="E7B200" w:themeColor="accent6" w:themeShade="80"/>
          <w:right w:val="single" w:sz="4" w:space="0" w:color="E7B200" w:themeColor="accent6" w:themeShade="80"/>
          <w:insideH w:val="single" w:sz="4" w:space="0" w:color="E7B200" w:themeColor="accent6" w:themeShade="80"/>
          <w:insideV w:val="single" w:sz="4" w:space="0" w:color="E7B200" w:themeColor="accent6" w:themeShade="80"/>
        </w:tcBorders>
      </w:tcPr>
    </w:tblStylePr>
    <w:tblStylePr w:type="band2Vert">
      <w:tblPr/>
      <w:tcPr>
        <w:tcBorders>
          <w:top w:val="single" w:sz="4" w:space="0" w:color="E7B200" w:themeColor="accent6" w:themeShade="80"/>
          <w:left w:val="single" w:sz="4" w:space="0" w:color="E7B200" w:themeColor="accent6" w:themeShade="80"/>
          <w:bottom w:val="single" w:sz="4" w:space="0" w:color="E7B200" w:themeColor="accent6" w:themeShade="80"/>
          <w:right w:val="single" w:sz="4" w:space="0" w:color="E7B200" w:themeColor="accent6" w:themeShade="80"/>
          <w:insideH w:val="single" w:sz="4" w:space="0" w:color="E7B200" w:themeColor="accent6" w:themeShade="80"/>
          <w:insideV w:val="single" w:sz="4" w:space="0" w:color="E7B200" w:themeColor="accent6" w:themeShade="80"/>
        </w:tcBorders>
      </w:tcPr>
    </w:tblStylePr>
    <w:tblStylePr w:type="band1Horz">
      <w:tblPr/>
      <w:tcPr>
        <w:tcBorders>
          <w:top w:val="single" w:sz="4" w:space="0" w:color="E7B200" w:themeColor="accent6" w:themeShade="80"/>
          <w:left w:val="single" w:sz="4" w:space="0" w:color="E7B200" w:themeColor="accent6" w:themeShade="80"/>
          <w:bottom w:val="single" w:sz="4" w:space="0" w:color="E7B200" w:themeColor="accent6" w:themeShade="80"/>
          <w:right w:val="single" w:sz="4" w:space="0" w:color="E7B200" w:themeColor="accent6" w:themeShade="80"/>
          <w:insideH w:val="single" w:sz="4" w:space="0" w:color="E7B200" w:themeColor="accent6" w:themeShade="80"/>
          <w:insideV w:val="single" w:sz="4" w:space="0" w:color="E7B200" w:themeColor="accent6" w:themeShade="80"/>
        </w:tcBorders>
      </w:tcPr>
    </w:tblStylePr>
    <w:tblStylePr w:type="band2Horz">
      <w:tblPr/>
      <w:tcPr>
        <w:tcBorders>
          <w:top w:val="single" w:sz="4" w:space="0" w:color="E7B200" w:themeColor="accent6" w:themeShade="80"/>
          <w:left w:val="single" w:sz="4" w:space="0" w:color="E7B200" w:themeColor="accent6" w:themeShade="80"/>
          <w:bottom w:val="single" w:sz="4" w:space="0" w:color="E7B200" w:themeColor="accent6" w:themeShade="80"/>
          <w:right w:val="single" w:sz="4" w:space="0" w:color="E7B200" w:themeColor="accent6" w:themeShade="80"/>
          <w:insideH w:val="single" w:sz="4" w:space="0" w:color="E7B200" w:themeColor="accent6" w:themeShade="80"/>
          <w:insideV w:val="single" w:sz="4" w:space="0" w:color="E7B200" w:themeColor="accent6" w:themeShade="80"/>
        </w:tcBorders>
      </w:tcPr>
    </w:tblStylePr>
    <w:tblStylePr w:type="neCell">
      <w:tblPr/>
      <w:tcPr>
        <w:tcBorders>
          <w:top w:val="single" w:sz="4" w:space="0" w:color="E7B200" w:themeColor="accent6" w:themeShade="80"/>
          <w:left w:val="single" w:sz="4" w:space="0" w:color="E7B200" w:themeColor="accent6" w:themeShade="80"/>
          <w:bottom w:val="single" w:sz="4" w:space="0" w:color="E7B200" w:themeColor="accent6" w:themeShade="80"/>
          <w:right w:val="single" w:sz="4" w:space="0" w:color="E7B200" w:themeColor="accent6" w:themeShade="80"/>
          <w:insideH w:val="single" w:sz="4" w:space="0" w:color="E7B200" w:themeColor="accent6" w:themeShade="80"/>
          <w:insideV w:val="single" w:sz="4" w:space="0" w:color="E7B200" w:themeColor="accent6" w:themeShade="80"/>
        </w:tcBorders>
      </w:tcPr>
    </w:tblStylePr>
    <w:tblStylePr w:type="nwCell">
      <w:tblPr/>
      <w:tcPr>
        <w:tcBorders>
          <w:top w:val="single" w:sz="4" w:space="0" w:color="E7B200" w:themeColor="accent6" w:themeShade="80"/>
          <w:left w:val="single" w:sz="4" w:space="0" w:color="E7B200" w:themeColor="accent6" w:themeShade="80"/>
          <w:bottom w:val="single" w:sz="4" w:space="0" w:color="E7B200" w:themeColor="accent6" w:themeShade="80"/>
          <w:right w:val="single" w:sz="4" w:space="0" w:color="E7B200" w:themeColor="accent6" w:themeShade="80"/>
          <w:insideH w:val="single" w:sz="4" w:space="0" w:color="E7B200" w:themeColor="accent6" w:themeShade="80"/>
          <w:insideV w:val="single" w:sz="4" w:space="0" w:color="E7B200" w:themeColor="accent6" w:themeShade="80"/>
        </w:tcBorders>
      </w:tcPr>
    </w:tblStylePr>
    <w:tblStylePr w:type="seCell">
      <w:tblPr/>
      <w:tcPr>
        <w:tcBorders>
          <w:top w:val="single" w:sz="4" w:space="0" w:color="E7B200" w:themeColor="accent6" w:themeShade="80"/>
          <w:left w:val="single" w:sz="4" w:space="0" w:color="E7B200" w:themeColor="accent6" w:themeShade="80"/>
          <w:bottom w:val="single" w:sz="4" w:space="0" w:color="E7B200" w:themeColor="accent6" w:themeShade="80"/>
          <w:right w:val="single" w:sz="4" w:space="0" w:color="E7B200" w:themeColor="accent6" w:themeShade="80"/>
          <w:insideH w:val="single" w:sz="4" w:space="0" w:color="E7B200" w:themeColor="accent6" w:themeShade="80"/>
          <w:insideV w:val="single" w:sz="4" w:space="0" w:color="E7B200" w:themeColor="accent6" w:themeShade="80"/>
        </w:tcBorders>
      </w:tcPr>
    </w:tblStylePr>
    <w:tblStylePr w:type="swCell">
      <w:tblPr/>
      <w:tcPr>
        <w:tcBorders>
          <w:top w:val="single" w:sz="4" w:space="0" w:color="E7B200" w:themeColor="accent6" w:themeShade="80"/>
          <w:left w:val="single" w:sz="4" w:space="0" w:color="E7B200" w:themeColor="accent6" w:themeShade="80"/>
          <w:bottom w:val="single" w:sz="4" w:space="0" w:color="E7B200" w:themeColor="accent6" w:themeShade="80"/>
          <w:right w:val="single" w:sz="4" w:space="0" w:color="E7B200" w:themeColor="accent6" w:themeShade="80"/>
          <w:insideH w:val="single" w:sz="4" w:space="0" w:color="E7B200" w:themeColor="accent6" w:themeShade="80"/>
          <w:insideV w:val="single" w:sz="4" w:space="0" w:color="E7B200" w:themeColor="accent6" w:themeShade="80"/>
        </w:tcBorders>
      </w:tcPr>
    </w:tblStylePr>
  </w:style>
  <w:style w:type="table" w:styleId="ListTable5Dark-Accent4">
    <w:name w:val="List Table 5 Dark Accent 4"/>
    <w:basedOn w:val="TableNormal"/>
    <w:uiPriority w:val="50"/>
    <w:rsid w:val="00625C3F"/>
    <w:pPr>
      <w:spacing w:after="0" w:line="240" w:lineRule="auto"/>
    </w:pPr>
    <w:rPr>
      <w:color w:val="FFFFFF" w:themeColor="background1"/>
    </w:rPr>
    <w:tblPr>
      <w:tblStyleRowBandSize w:val="1"/>
      <w:tblStyleColBandSize w:val="1"/>
      <w:tblBorders>
        <w:top w:val="single" w:sz="24" w:space="0" w:color="FFE6EA" w:themeColor="accent4"/>
        <w:left w:val="single" w:sz="24" w:space="0" w:color="FFE6EA" w:themeColor="accent4"/>
        <w:bottom w:val="single" w:sz="24" w:space="0" w:color="FFE6EA" w:themeColor="accent4"/>
        <w:right w:val="single" w:sz="24" w:space="0" w:color="FFE6EA" w:themeColor="accent4"/>
      </w:tblBorders>
    </w:tblPr>
    <w:tcPr>
      <w:shd w:val="clear" w:color="auto" w:fill="FFE6EA"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customStyle="1" w:styleId="DescriptororName">
    <w:name w:val="Descriptor or Name"/>
    <w:next w:val="BodyText"/>
    <w:uiPriority w:val="1"/>
    <w:qFormat/>
    <w:rsid w:val="00974F60"/>
    <w:pPr>
      <w:tabs>
        <w:tab w:val="right" w:pos="10206"/>
      </w:tabs>
      <w:suppressAutoHyphens/>
      <w:spacing w:after="840" w:line="240" w:lineRule="auto"/>
      <w:ind w:right="1701"/>
      <w:contextualSpacing/>
    </w:pPr>
    <w:rPr>
      <w:rFonts w:asciiTheme="majorHAnsi" w:hAnsiTheme="majorHAnsi"/>
      <w:color w:val="630019" w:themeColor="accent1"/>
      <w:sz w:val="28"/>
    </w:rPr>
  </w:style>
  <w:style w:type="character" w:customStyle="1" w:styleId="DateChar">
    <w:name w:val="Date Char"/>
    <w:basedOn w:val="DefaultParagraphFont"/>
    <w:link w:val="Date"/>
    <w:uiPriority w:val="3"/>
    <w:rsid w:val="000F36A1"/>
    <w:rPr>
      <w:color w:val="22272B" w:themeColor="text1"/>
    </w:rPr>
  </w:style>
  <w:style w:type="table" w:styleId="ListTable3-Accent1">
    <w:name w:val="List Table 3 Accent 1"/>
    <w:basedOn w:val="TableNormal"/>
    <w:uiPriority w:val="48"/>
    <w:rsid w:val="00957C0D"/>
    <w:pPr>
      <w:spacing w:after="0" w:line="240" w:lineRule="auto"/>
    </w:pPr>
    <w:tblPr>
      <w:tblStyleRowBandSize w:val="1"/>
      <w:tblStyleColBandSize w:val="1"/>
      <w:tblBorders>
        <w:top w:val="single" w:sz="4" w:space="0" w:color="630019" w:themeColor="accent1"/>
        <w:left w:val="single" w:sz="4" w:space="0" w:color="630019" w:themeColor="accent1"/>
        <w:bottom w:val="single" w:sz="4" w:space="0" w:color="630019" w:themeColor="accent1"/>
        <w:right w:val="single" w:sz="4" w:space="0" w:color="630019" w:themeColor="accent1"/>
      </w:tblBorders>
    </w:tblPr>
    <w:tblStylePr w:type="firstRow">
      <w:rPr>
        <w:b/>
        <w:bCs/>
        <w:color w:val="FFFFFF" w:themeColor="background1"/>
      </w:rPr>
      <w:tblPr/>
      <w:tcPr>
        <w:shd w:val="clear" w:color="auto" w:fill="630019" w:themeFill="accent1"/>
      </w:tcPr>
    </w:tblStylePr>
    <w:tblStylePr w:type="lastRow">
      <w:rPr>
        <w:b/>
        <w:bCs/>
      </w:rPr>
      <w:tblPr/>
      <w:tcPr>
        <w:tcBorders>
          <w:top w:val="double" w:sz="4" w:space="0" w:color="630019"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30019" w:themeColor="accent1"/>
          <w:right w:val="single" w:sz="4" w:space="0" w:color="630019" w:themeColor="accent1"/>
        </w:tcBorders>
      </w:tcPr>
    </w:tblStylePr>
    <w:tblStylePr w:type="band1Horz">
      <w:tblPr/>
      <w:tcPr>
        <w:tcBorders>
          <w:top w:val="single" w:sz="4" w:space="0" w:color="630019" w:themeColor="accent1"/>
          <w:bottom w:val="single" w:sz="4" w:space="0" w:color="630019"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30019" w:themeColor="accent1"/>
          <w:left w:val="nil"/>
        </w:tcBorders>
      </w:tcPr>
    </w:tblStylePr>
    <w:tblStylePr w:type="swCell">
      <w:tblPr/>
      <w:tcPr>
        <w:tcBorders>
          <w:top w:val="double" w:sz="4" w:space="0" w:color="630019" w:themeColor="accent1"/>
          <w:right w:val="nil"/>
        </w:tcBorders>
      </w:tcPr>
    </w:tblStylePr>
  </w:style>
  <w:style w:type="paragraph" w:customStyle="1" w:styleId="DocumentType">
    <w:name w:val="Document Type"/>
    <w:next w:val="Heading1"/>
    <w:uiPriority w:val="1"/>
    <w:qFormat/>
    <w:rsid w:val="002F3AF2"/>
    <w:pPr>
      <w:suppressAutoHyphens/>
      <w:spacing w:after="0" w:line="240" w:lineRule="auto"/>
      <w:contextualSpacing/>
    </w:pPr>
    <w:rPr>
      <w:rFonts w:asciiTheme="majorHAnsi" w:hAnsiTheme="majorHAnsi"/>
      <w:color w:val="22272B" w:themeColor="text1"/>
      <w:sz w:val="36"/>
    </w:rPr>
  </w:style>
  <w:style w:type="character" w:customStyle="1" w:styleId="QuoteChar">
    <w:name w:val="Quote Char"/>
    <w:aliases w:val="Pull out quote Char"/>
    <w:basedOn w:val="DefaultParagraphFont"/>
    <w:link w:val="Quote"/>
    <w:rsid w:val="00F037E0"/>
    <w:rPr>
      <w:color w:val="630019" w:themeColor="accent1"/>
      <w:sz w:val="28"/>
    </w:rPr>
  </w:style>
  <w:style w:type="table" w:styleId="ListTable3-Accent2">
    <w:name w:val="List Table 3 Accent 2"/>
    <w:basedOn w:val="TableNormal"/>
    <w:uiPriority w:val="48"/>
    <w:rsid w:val="008E6BA5"/>
    <w:pPr>
      <w:spacing w:after="0" w:line="240" w:lineRule="auto"/>
    </w:pPr>
    <w:tblPr>
      <w:tblStyleRowBandSize w:val="1"/>
      <w:tblStyleColBandSize w:val="1"/>
      <w:tblBorders>
        <w:top w:val="single" w:sz="4" w:space="0" w:color="FFE6EA" w:themeColor="accent4"/>
        <w:left w:val="single" w:sz="4" w:space="0" w:color="FFE6EA" w:themeColor="accent4"/>
        <w:bottom w:val="single" w:sz="4" w:space="0" w:color="FFE6EA" w:themeColor="accent4"/>
        <w:right w:val="single" w:sz="4" w:space="0" w:color="FFE6EA" w:themeColor="accent4"/>
        <w:insideH w:val="single" w:sz="4" w:space="0" w:color="FFE6EA" w:themeColor="accent4"/>
        <w:insideV w:val="single" w:sz="4" w:space="0" w:color="FFE6EA" w:themeColor="accent4"/>
      </w:tblBorders>
    </w:tblPr>
    <w:tblStylePr w:type="firstRow">
      <w:rPr>
        <w:b/>
        <w:bCs/>
        <w:color w:val="FFFFFF" w:themeColor="background1"/>
      </w:rPr>
      <w:tblPr/>
      <w:trPr>
        <w:tblHeader/>
      </w:trPr>
      <w:tcPr>
        <w:tcBorders>
          <w:top w:val="single" w:sz="4" w:space="0" w:color="FFE6EA" w:themeColor="accent4"/>
          <w:left w:val="single" w:sz="4" w:space="0" w:color="FFE6EA" w:themeColor="accent4"/>
          <w:bottom w:val="single" w:sz="4" w:space="0" w:color="FFE6EA" w:themeColor="accent4"/>
          <w:right w:val="single" w:sz="4" w:space="0" w:color="FFE6EA" w:themeColor="accent4"/>
          <w:insideH w:val="single" w:sz="4" w:space="0" w:color="FFE6EA" w:themeColor="accent4"/>
          <w:insideV w:val="single" w:sz="4" w:space="0" w:color="FFE6EA" w:themeColor="accent4"/>
          <w:tl2br w:val="nil"/>
          <w:tr2bl w:val="nil"/>
        </w:tcBorders>
        <w:shd w:val="clear" w:color="auto" w:fill="D7153A" w:themeFill="accent2"/>
      </w:tcPr>
    </w:tblStylePr>
    <w:tblStylePr w:type="lastRow">
      <w:rPr>
        <w:b w:val="0"/>
        <w:bCs/>
      </w:rPr>
      <w:tblPr/>
      <w:tcPr>
        <w:tcBorders>
          <w:top w:val="single" w:sz="4" w:space="0" w:color="FFE6EA" w:themeColor="accent4"/>
          <w:left w:val="single" w:sz="4" w:space="0" w:color="FFE6EA" w:themeColor="accent4"/>
          <w:bottom w:val="single" w:sz="4" w:space="0" w:color="FFE6EA" w:themeColor="accent4"/>
          <w:right w:val="single" w:sz="4" w:space="0" w:color="FFE6EA" w:themeColor="accent4"/>
          <w:insideH w:val="single" w:sz="4" w:space="0" w:color="FFE6EA" w:themeColor="accent4"/>
          <w:insideV w:val="single" w:sz="4" w:space="0" w:color="FFE6EA" w:themeColor="accent4"/>
          <w:tl2br w:val="nil"/>
          <w:tr2bl w:val="nil"/>
        </w:tcBorders>
        <w:shd w:val="clear" w:color="auto" w:fill="FFFFFF" w:themeFill="background1"/>
      </w:tcPr>
    </w:tblStylePr>
    <w:tblStylePr w:type="firstCol">
      <w:rPr>
        <w:b w:val="0"/>
        <w:bCs/>
      </w:rPr>
      <w:tblPr/>
      <w:tcPr>
        <w:tcBorders>
          <w:top w:val="single" w:sz="4" w:space="0" w:color="FFE6EA" w:themeColor="accent4"/>
          <w:left w:val="single" w:sz="4" w:space="0" w:color="FFE6EA" w:themeColor="accent4"/>
          <w:bottom w:val="single" w:sz="4" w:space="0" w:color="FFE6EA" w:themeColor="accent4"/>
          <w:right w:val="single" w:sz="4" w:space="0" w:color="FFE6EA" w:themeColor="accent4"/>
          <w:insideH w:val="single" w:sz="4" w:space="0" w:color="FFE6EA" w:themeColor="accent4"/>
          <w:insideV w:val="single" w:sz="4" w:space="0" w:color="FFE6EA" w:themeColor="accent4"/>
          <w:tl2br w:val="nil"/>
          <w:tr2bl w:val="nil"/>
        </w:tcBorders>
      </w:tcPr>
    </w:tblStylePr>
    <w:tblStylePr w:type="lastCol">
      <w:rPr>
        <w:b w:val="0"/>
        <w:bCs/>
      </w:rPr>
      <w:tblPr/>
      <w:tcPr>
        <w:tcBorders>
          <w:top w:val="single" w:sz="4" w:space="0" w:color="FFE6EA" w:themeColor="accent4"/>
          <w:left w:val="single" w:sz="4" w:space="0" w:color="FFE6EA" w:themeColor="accent4"/>
          <w:bottom w:val="single" w:sz="4" w:space="0" w:color="FFE6EA" w:themeColor="accent4"/>
          <w:right w:val="single" w:sz="4" w:space="0" w:color="FFE6EA" w:themeColor="accent4"/>
          <w:insideH w:val="single" w:sz="4" w:space="0" w:color="FFE6EA" w:themeColor="accent4"/>
          <w:insideV w:val="single" w:sz="4" w:space="0" w:color="FFE6EA" w:themeColor="accent4"/>
          <w:tl2br w:val="nil"/>
          <w:tr2bl w:val="nil"/>
        </w:tcBorders>
        <w:shd w:val="clear" w:color="auto" w:fill="FFFFFF" w:themeFill="background1"/>
      </w:tcPr>
    </w:tblStylePr>
    <w:tblStylePr w:type="band1Vert">
      <w:tblPr/>
      <w:tcPr>
        <w:tcBorders>
          <w:top w:val="single" w:sz="4" w:space="0" w:color="FFE6EA" w:themeColor="accent4"/>
          <w:left w:val="single" w:sz="4" w:space="0" w:color="FFE6EA" w:themeColor="accent4"/>
          <w:bottom w:val="single" w:sz="4" w:space="0" w:color="FFE6EA" w:themeColor="accent4"/>
          <w:right w:val="single" w:sz="4" w:space="0" w:color="FFE6EA" w:themeColor="accent4"/>
          <w:insideH w:val="single" w:sz="4" w:space="0" w:color="FFE6EA" w:themeColor="accent4"/>
          <w:insideV w:val="single" w:sz="4" w:space="0" w:color="FFE6EA" w:themeColor="accent4"/>
        </w:tcBorders>
      </w:tcPr>
    </w:tblStylePr>
    <w:tblStylePr w:type="band2Vert">
      <w:tblPr/>
      <w:tcPr>
        <w:tcBorders>
          <w:top w:val="single" w:sz="4" w:space="0" w:color="FFE6EA" w:themeColor="accent4"/>
          <w:left w:val="single" w:sz="4" w:space="0" w:color="FFE6EA" w:themeColor="accent4"/>
          <w:bottom w:val="single" w:sz="4" w:space="0" w:color="FFE6EA" w:themeColor="accent4"/>
          <w:right w:val="single" w:sz="4" w:space="0" w:color="FFE6EA" w:themeColor="accent4"/>
          <w:insideH w:val="single" w:sz="4" w:space="0" w:color="FFE6EA" w:themeColor="accent4"/>
          <w:insideV w:val="single" w:sz="4" w:space="0" w:color="FFE6EA" w:themeColor="accent4"/>
        </w:tcBorders>
      </w:tcPr>
    </w:tblStylePr>
    <w:tblStylePr w:type="band1Horz">
      <w:tblPr/>
      <w:tcPr>
        <w:tcBorders>
          <w:top w:val="single" w:sz="4" w:space="0" w:color="FFE6EA" w:themeColor="accent4"/>
          <w:left w:val="single" w:sz="4" w:space="0" w:color="FFE6EA" w:themeColor="accent4"/>
          <w:bottom w:val="single" w:sz="4" w:space="0" w:color="FFE6EA" w:themeColor="accent4"/>
          <w:right w:val="single" w:sz="4" w:space="0" w:color="FFE6EA" w:themeColor="accent4"/>
          <w:insideH w:val="single" w:sz="4" w:space="0" w:color="FFE6EA" w:themeColor="accent4"/>
          <w:insideV w:val="single" w:sz="4" w:space="0" w:color="FFE6EA" w:themeColor="accent4"/>
        </w:tcBorders>
      </w:tcPr>
    </w:tblStylePr>
    <w:tblStylePr w:type="band2Horz">
      <w:tblPr/>
      <w:tcPr>
        <w:tcBorders>
          <w:top w:val="single" w:sz="4" w:space="0" w:color="FFE6EA" w:themeColor="accent4"/>
          <w:left w:val="single" w:sz="4" w:space="0" w:color="FFE6EA" w:themeColor="accent4"/>
          <w:bottom w:val="single" w:sz="4" w:space="0" w:color="FFE6EA" w:themeColor="accent4"/>
          <w:right w:val="single" w:sz="4" w:space="0" w:color="FFE6EA" w:themeColor="accent4"/>
          <w:insideH w:val="single" w:sz="4" w:space="0" w:color="FFE6EA" w:themeColor="accent4"/>
          <w:insideV w:val="single" w:sz="4" w:space="0" w:color="FFE6EA" w:themeColor="accent4"/>
        </w:tcBorders>
      </w:tcPr>
    </w:tblStylePr>
    <w:tblStylePr w:type="neCell">
      <w:tblPr/>
      <w:tcPr>
        <w:tcBorders>
          <w:top w:val="single" w:sz="4" w:space="0" w:color="FFE6EA" w:themeColor="accent4"/>
          <w:left w:val="single" w:sz="4" w:space="0" w:color="FFE6EA" w:themeColor="accent4"/>
          <w:bottom w:val="single" w:sz="4" w:space="0" w:color="FFE6EA" w:themeColor="accent4"/>
          <w:right w:val="single" w:sz="4" w:space="0" w:color="FFE6EA" w:themeColor="accent4"/>
          <w:insideH w:val="single" w:sz="4" w:space="0" w:color="FFE6EA" w:themeColor="accent4"/>
          <w:insideV w:val="single" w:sz="4" w:space="0" w:color="FFE6EA" w:themeColor="accent4"/>
        </w:tcBorders>
      </w:tcPr>
    </w:tblStylePr>
    <w:tblStylePr w:type="nwCell">
      <w:tblPr/>
      <w:tcPr>
        <w:tcBorders>
          <w:top w:val="single" w:sz="4" w:space="0" w:color="FFE6EA" w:themeColor="accent4"/>
          <w:left w:val="single" w:sz="4" w:space="0" w:color="FFE6EA" w:themeColor="accent4"/>
          <w:bottom w:val="single" w:sz="4" w:space="0" w:color="FFE6EA" w:themeColor="accent4"/>
          <w:right w:val="single" w:sz="4" w:space="0" w:color="FFE6EA" w:themeColor="accent4"/>
          <w:insideH w:val="single" w:sz="4" w:space="0" w:color="FFE6EA" w:themeColor="accent4"/>
          <w:insideV w:val="single" w:sz="4" w:space="0" w:color="FFE6EA" w:themeColor="accent4"/>
        </w:tcBorders>
      </w:tcPr>
    </w:tblStylePr>
    <w:tblStylePr w:type="seCell">
      <w:tblPr/>
      <w:tcPr>
        <w:tcBorders>
          <w:top w:val="single" w:sz="4" w:space="0" w:color="FFE6EA" w:themeColor="accent4"/>
          <w:left w:val="single" w:sz="4" w:space="0" w:color="FFE6EA" w:themeColor="accent4"/>
          <w:bottom w:val="single" w:sz="4" w:space="0" w:color="FFE6EA" w:themeColor="accent4"/>
          <w:right w:val="single" w:sz="4" w:space="0" w:color="FFE6EA" w:themeColor="accent4"/>
          <w:insideH w:val="single" w:sz="4" w:space="0" w:color="FFE6EA" w:themeColor="accent4"/>
          <w:insideV w:val="single" w:sz="4" w:space="0" w:color="FFE6EA" w:themeColor="accent4"/>
        </w:tcBorders>
      </w:tcPr>
    </w:tblStylePr>
    <w:tblStylePr w:type="swCell">
      <w:tblPr/>
      <w:tcPr>
        <w:tcBorders>
          <w:top w:val="single" w:sz="4" w:space="0" w:color="FFE6EA" w:themeColor="accent4"/>
          <w:left w:val="single" w:sz="4" w:space="0" w:color="FFE6EA" w:themeColor="accent4"/>
          <w:bottom w:val="single" w:sz="4" w:space="0" w:color="FFE6EA" w:themeColor="accent4"/>
          <w:right w:val="single" w:sz="4" w:space="0" w:color="FFE6EA" w:themeColor="accent4"/>
          <w:insideH w:val="single" w:sz="4" w:space="0" w:color="FFE6EA" w:themeColor="accent4"/>
          <w:insideV w:val="single" w:sz="4" w:space="0" w:color="FFE6EA" w:themeColor="accent4"/>
        </w:tcBorders>
      </w:tcPr>
    </w:tblStylePr>
  </w:style>
  <w:style w:type="paragraph" w:styleId="ListParagraph">
    <w:name w:val="List Paragraph"/>
    <w:aliases w:val="Recommendation,standard lewis,List Paragraph1,F5 List Paragraph,Dot pt,No Spacing1,List Paragraph Char Char Char,Indicator Text,Numbered Para 1,Colorful List - Accent 11,Bullet Points,MAIN CONTENT,Body Text Numbered,L,CV text,列,3,PreApp 3"/>
    <w:basedOn w:val="Normal"/>
    <w:link w:val="ListParagraphChar"/>
    <w:uiPriority w:val="34"/>
    <w:qFormat/>
    <w:rsid w:val="00D30627"/>
    <w:pPr>
      <w:ind w:left="720"/>
      <w:contextualSpacing/>
    </w:pPr>
  </w:style>
  <w:style w:type="paragraph" w:customStyle="1" w:styleId="Bullet1">
    <w:name w:val="Bullet 1"/>
    <w:basedOn w:val="BodyText"/>
    <w:qFormat/>
    <w:rsid w:val="00D30627"/>
    <w:pPr>
      <w:numPr>
        <w:numId w:val="9"/>
      </w:numPr>
      <w:tabs>
        <w:tab w:val="clear" w:pos="357"/>
        <w:tab w:val="clear" w:pos="714"/>
        <w:tab w:val="clear" w:pos="2552"/>
      </w:tabs>
      <w:suppressAutoHyphens w:val="0"/>
      <w:spacing w:before="0" w:after="160" w:line="259" w:lineRule="auto"/>
    </w:pPr>
    <w:rPr>
      <w:rFonts w:ascii="Public Sans" w:eastAsia="Times New Roman" w:hAnsi="Public Sans" w:cs="Times New Roman"/>
      <w:color w:val="auto"/>
      <w:lang w:eastAsia="en-US"/>
    </w:rPr>
  </w:style>
  <w:style w:type="character" w:customStyle="1" w:styleId="Heading8Char">
    <w:name w:val="Heading 8 Char"/>
    <w:basedOn w:val="DefaultParagraphFont"/>
    <w:link w:val="Heading8"/>
    <w:uiPriority w:val="19"/>
    <w:semiHidden/>
    <w:rsid w:val="002D4D94"/>
    <w:rPr>
      <w:rFonts w:ascii="Arial" w:eastAsiaTheme="majorEastAsia" w:hAnsi="Arial" w:cstheme="majorBidi"/>
      <w:color w:val="525D67" w:themeColor="text1" w:themeTint="BF"/>
      <w:sz w:val="20"/>
      <w:szCs w:val="20"/>
      <w:lang w:eastAsia="en-US"/>
    </w:rPr>
  </w:style>
  <w:style w:type="paragraph" w:customStyle="1" w:styleId="Descriptor">
    <w:name w:val="Descriptor"/>
    <w:next w:val="Title"/>
    <w:rsid w:val="002D4D94"/>
    <w:pPr>
      <w:tabs>
        <w:tab w:val="right" w:pos="10206"/>
      </w:tabs>
      <w:suppressAutoHyphens/>
      <w:spacing w:after="0" w:line="240" w:lineRule="auto"/>
      <w:contextualSpacing/>
    </w:pPr>
    <w:rPr>
      <w:rFonts w:asciiTheme="majorHAnsi" w:hAnsiTheme="majorHAnsi"/>
      <w:color w:val="FFFFFF" w:themeColor="background1"/>
      <w:sz w:val="28"/>
    </w:rPr>
  </w:style>
  <w:style w:type="paragraph" w:customStyle="1" w:styleId="ContactDetails">
    <w:name w:val="Contact Details"/>
    <w:uiPriority w:val="99"/>
    <w:rsid w:val="002D4D94"/>
    <w:pPr>
      <w:spacing w:before="120" w:after="120" w:line="240" w:lineRule="auto"/>
      <w:contextualSpacing/>
    </w:pPr>
    <w:rPr>
      <w:color w:val="FFFFFF" w:themeColor="background1"/>
    </w:rPr>
  </w:style>
  <w:style w:type="paragraph" w:customStyle="1" w:styleId="AOCHeading">
    <w:name w:val="AOC Heading"/>
    <w:next w:val="BodyText"/>
    <w:uiPriority w:val="4"/>
    <w:rsid w:val="002D4D94"/>
    <w:pPr>
      <w:pBdr>
        <w:top w:val="single" w:sz="4" w:space="8" w:color="630019" w:themeColor="accent1"/>
      </w:pBdr>
      <w:spacing w:before="240" w:after="120" w:line="240" w:lineRule="auto"/>
    </w:pPr>
    <w:rPr>
      <w:color w:val="630019" w:themeColor="accent1"/>
      <w:sz w:val="36"/>
    </w:rPr>
  </w:style>
  <w:style w:type="paragraph" w:customStyle="1" w:styleId="Moreinfomation">
    <w:name w:val="More infomation"/>
    <w:next w:val="BodyText"/>
    <w:uiPriority w:val="4"/>
    <w:rsid w:val="002D4D94"/>
    <w:pPr>
      <w:spacing w:before="120" w:after="120" w:line="240" w:lineRule="auto"/>
    </w:pPr>
    <w:rPr>
      <w:rFonts w:asciiTheme="majorHAnsi" w:eastAsiaTheme="majorEastAsia" w:hAnsiTheme="majorHAnsi" w:cstheme="majorBidi"/>
      <w:iCs/>
      <w:color w:val="630019" w:themeColor="accent1"/>
      <w:sz w:val="24"/>
    </w:rPr>
  </w:style>
  <w:style w:type="paragraph" w:customStyle="1" w:styleId="paragraph">
    <w:name w:val="paragraph"/>
    <w:basedOn w:val="Normal"/>
    <w:rsid w:val="002D4D94"/>
    <w:pPr>
      <w:suppressAutoHyphens w:val="0"/>
      <w:spacing w:before="100" w:beforeAutospacing="1" w:after="100" w:afterAutospacing="1"/>
    </w:pPr>
    <w:rPr>
      <w:rFonts w:ascii="Times New Roman" w:eastAsia="Times New Roman" w:hAnsi="Times New Roman" w:cs="Times New Roman"/>
      <w:color w:val="auto"/>
      <w:sz w:val="24"/>
      <w:szCs w:val="24"/>
      <w:lang w:eastAsia="en-AU"/>
    </w:rPr>
  </w:style>
  <w:style w:type="character" w:customStyle="1" w:styleId="normaltextrun">
    <w:name w:val="normaltextrun"/>
    <w:basedOn w:val="DefaultParagraphFont"/>
    <w:rsid w:val="002D4D94"/>
  </w:style>
  <w:style w:type="character" w:customStyle="1" w:styleId="eop">
    <w:name w:val="eop"/>
    <w:basedOn w:val="DefaultParagraphFont"/>
    <w:rsid w:val="002D4D94"/>
  </w:style>
  <w:style w:type="character" w:customStyle="1" w:styleId="superscript">
    <w:name w:val="superscript"/>
    <w:basedOn w:val="DefaultParagraphFont"/>
    <w:rsid w:val="002D4D94"/>
  </w:style>
  <w:style w:type="paragraph" w:styleId="NormalWeb">
    <w:name w:val="Normal (Web)"/>
    <w:basedOn w:val="Normal"/>
    <w:uiPriority w:val="99"/>
    <w:unhideWhenUsed/>
    <w:rsid w:val="002D4D94"/>
    <w:pPr>
      <w:suppressAutoHyphens w:val="0"/>
      <w:spacing w:before="100" w:beforeAutospacing="1" w:after="100" w:afterAutospacing="1"/>
    </w:pPr>
    <w:rPr>
      <w:rFonts w:ascii="Times New Roman" w:eastAsia="Times New Roman" w:hAnsi="Times New Roman" w:cs="Times New Roman"/>
      <w:color w:val="auto"/>
      <w:sz w:val="24"/>
      <w:szCs w:val="24"/>
      <w:lang w:eastAsia="en-AU"/>
    </w:rPr>
  </w:style>
  <w:style w:type="character" w:customStyle="1" w:styleId="ListParagraphChar">
    <w:name w:val="List Paragraph Char"/>
    <w:aliases w:val="Recommendation Char,standard lewis Char,List Paragraph1 Char,F5 List Paragraph Char,Dot pt Char,No Spacing1 Char,List Paragraph Char Char Char Char,Indicator Text Char,Numbered Para 1 Char,Colorful List - Accent 11 Char,L Char,列 Char"/>
    <w:link w:val="ListParagraph"/>
    <w:uiPriority w:val="34"/>
    <w:qFormat/>
    <w:rsid w:val="002D4D94"/>
    <w:rPr>
      <w:rFonts w:ascii="Calibri" w:eastAsia="Calibri" w:hAnsi="Calibri" w:cs="Calibri"/>
      <w:color w:val="FF0000"/>
      <w:sz w:val="20"/>
      <w:szCs w:val="20"/>
    </w:rPr>
  </w:style>
  <w:style w:type="paragraph" w:customStyle="1" w:styleId="FeatureboxtextAHURI">
    <w:name w:val="Feature box text (AHURI)"/>
    <w:qFormat/>
    <w:rsid w:val="002D4D94"/>
    <w:pPr>
      <w:pBdr>
        <w:top w:val="single" w:sz="4" w:space="5" w:color="auto"/>
        <w:bottom w:val="single" w:sz="4" w:space="8" w:color="auto"/>
      </w:pBdr>
      <w:tabs>
        <w:tab w:val="left" w:pos="284"/>
        <w:tab w:val="left" w:pos="567"/>
        <w:tab w:val="left" w:pos="851"/>
      </w:tabs>
      <w:spacing w:after="180" w:line="320" w:lineRule="exact"/>
    </w:pPr>
    <w:rPr>
      <w:rFonts w:eastAsiaTheme="minorHAnsi"/>
      <w:b/>
      <w:color w:val="22272B" w:themeColor="text1"/>
      <w:kern w:val="2"/>
      <w:sz w:val="23"/>
      <w:szCs w:val="18"/>
      <w:lang w:eastAsia="ja-JP"/>
      <w14:ligatures w14:val="standardContextual"/>
    </w:rPr>
  </w:style>
  <w:style w:type="paragraph" w:customStyle="1" w:styleId="Coverdate">
    <w:name w:val="Cover date"/>
    <w:basedOn w:val="Coverdatewhite"/>
    <w:rsid w:val="002D4D94"/>
    <w:rPr>
      <w:color w:val="002664" w:themeColor="background2"/>
    </w:rPr>
  </w:style>
  <w:style w:type="paragraph" w:customStyle="1" w:styleId="CoverURLwhite">
    <w:name w:val="Cover URL white"/>
    <w:basedOn w:val="Coverdatewhite"/>
    <w:rsid w:val="002D4D94"/>
    <w:pPr>
      <w:pBdr>
        <w:top w:val="single" w:sz="4" w:space="4" w:color="002664" w:themeColor="background2"/>
      </w:pBdr>
      <w:tabs>
        <w:tab w:val="right" w:pos="10198"/>
      </w:tabs>
    </w:pPr>
  </w:style>
  <w:style w:type="paragraph" w:customStyle="1" w:styleId="Bullet2">
    <w:name w:val="Bullet 2"/>
    <w:basedOn w:val="Normal"/>
    <w:qFormat/>
    <w:rsid w:val="002D4D94"/>
    <w:pPr>
      <w:numPr>
        <w:numId w:val="10"/>
      </w:numPr>
      <w:suppressAutoHyphens w:val="0"/>
      <w:spacing w:before="120" w:after="120"/>
    </w:pPr>
    <w:rPr>
      <w:rFonts w:asciiTheme="minorHAnsi" w:eastAsia="Arial" w:hAnsiTheme="minorHAnsi" w:cs="ArialMT"/>
      <w:color w:val="000000"/>
      <w:sz w:val="22"/>
      <w:szCs w:val="24"/>
      <w:lang w:eastAsia="en-US"/>
    </w:rPr>
  </w:style>
  <w:style w:type="paragraph" w:customStyle="1" w:styleId="Bullet3">
    <w:name w:val="Bullet 3"/>
    <w:basedOn w:val="Normal"/>
    <w:rsid w:val="002D4D94"/>
    <w:pPr>
      <w:numPr>
        <w:numId w:val="11"/>
      </w:numPr>
      <w:tabs>
        <w:tab w:val="clear" w:pos="850"/>
        <w:tab w:val="num" w:pos="284"/>
      </w:tabs>
      <w:suppressAutoHyphens w:val="0"/>
      <w:spacing w:before="120" w:after="120"/>
      <w:ind w:left="284" w:hanging="284"/>
    </w:pPr>
    <w:rPr>
      <w:rFonts w:asciiTheme="minorHAnsi" w:eastAsia="Arial" w:hAnsiTheme="minorHAnsi" w:cs="Times New Roman"/>
      <w:color w:val="22272B" w:themeColor="text1"/>
      <w:sz w:val="22"/>
      <w:szCs w:val="24"/>
      <w:lang w:eastAsia="en-US"/>
    </w:rPr>
  </w:style>
  <w:style w:type="paragraph" w:customStyle="1" w:styleId="CoverDocumenttitle">
    <w:name w:val="Cover Document title"/>
    <w:basedOn w:val="Title"/>
    <w:rsid w:val="002D4D94"/>
    <w:pPr>
      <w:spacing w:line="216" w:lineRule="auto"/>
      <w:contextualSpacing/>
    </w:pPr>
    <w:rPr>
      <w:color w:val="002664" w:themeColor="background2"/>
      <w:spacing w:val="-10"/>
      <w:position w:val="0"/>
      <w:sz w:val="80"/>
      <w:szCs w:val="80"/>
    </w:rPr>
  </w:style>
  <w:style w:type="paragraph" w:customStyle="1" w:styleId="CoverSubtitle">
    <w:name w:val="Cover Subtitle"/>
    <w:basedOn w:val="Subtitle"/>
    <w:rsid w:val="002D4D94"/>
    <w:pPr>
      <w:pBdr>
        <w:top w:val="none" w:sz="0" w:space="0" w:color="auto"/>
      </w:pBdr>
      <w:suppressAutoHyphens w:val="0"/>
      <w:spacing w:after="160"/>
    </w:pPr>
    <w:rPr>
      <w:color w:val="002664" w:themeColor="background2"/>
      <w:sz w:val="36"/>
      <w:szCs w:val="36"/>
      <w:lang w:val="en-US"/>
    </w:rPr>
  </w:style>
  <w:style w:type="paragraph" w:customStyle="1" w:styleId="Covertext">
    <w:name w:val="Cover text"/>
    <w:rsid w:val="002D4D94"/>
    <w:pPr>
      <w:tabs>
        <w:tab w:val="right" w:pos="9899"/>
      </w:tabs>
      <w:spacing w:after="0" w:line="240" w:lineRule="auto"/>
    </w:pPr>
    <w:rPr>
      <w:rFonts w:eastAsia="Arial" w:cs="PublicSans-Light"/>
      <w:color w:val="002664" w:themeColor="background2"/>
      <w:spacing w:val="-1"/>
      <w:lang w:val="en-US" w:eastAsia="en-US"/>
    </w:rPr>
  </w:style>
  <w:style w:type="paragraph" w:customStyle="1" w:styleId="CoverURL">
    <w:name w:val="Cover URL"/>
    <w:basedOn w:val="Normal"/>
    <w:rsid w:val="002D4D94"/>
    <w:pPr>
      <w:autoSpaceDE w:val="0"/>
      <w:autoSpaceDN w:val="0"/>
      <w:adjustRightInd w:val="0"/>
      <w:jc w:val="right"/>
      <w:textAlignment w:val="center"/>
    </w:pPr>
    <w:rPr>
      <w:rFonts w:asciiTheme="minorHAnsi" w:eastAsia="Arial" w:hAnsiTheme="minorHAnsi" w:cs="PublicSans-Light"/>
      <w:color w:val="002664" w:themeColor="background2"/>
      <w:spacing w:val="-1"/>
      <w:sz w:val="22"/>
      <w:szCs w:val="22"/>
      <w:lang w:val="en-US" w:eastAsia="en-US"/>
    </w:rPr>
  </w:style>
  <w:style w:type="paragraph" w:customStyle="1" w:styleId="Chartheading">
    <w:name w:val="Chart heading"/>
    <w:basedOn w:val="Normal"/>
    <w:rsid w:val="002D4D94"/>
    <w:pPr>
      <w:keepNext/>
      <w:suppressAutoHyphens w:val="0"/>
      <w:spacing w:after="120"/>
    </w:pPr>
    <w:rPr>
      <w:rFonts w:asciiTheme="majorHAnsi" w:eastAsia="Arial" w:hAnsiTheme="majorHAnsi" w:cs="Times New Roman"/>
      <w:b/>
      <w:bCs/>
      <w:color w:val="002664" w:themeColor="background2"/>
      <w:sz w:val="22"/>
      <w:szCs w:val="24"/>
      <w:lang w:eastAsia="en-US"/>
    </w:rPr>
  </w:style>
  <w:style w:type="paragraph" w:customStyle="1" w:styleId="Infographics">
    <w:name w:val="Infographics"/>
    <w:basedOn w:val="Normal"/>
    <w:uiPriority w:val="99"/>
    <w:rsid w:val="002D4D94"/>
    <w:pPr>
      <w:tabs>
        <w:tab w:val="right" w:pos="340"/>
      </w:tabs>
      <w:autoSpaceDE w:val="0"/>
      <w:autoSpaceDN w:val="0"/>
      <w:adjustRightInd w:val="0"/>
      <w:spacing w:after="113" w:line="180" w:lineRule="atLeast"/>
      <w:jc w:val="center"/>
      <w:textAlignment w:val="center"/>
    </w:pPr>
    <w:rPr>
      <w:rFonts w:ascii="PublicSans-Light" w:eastAsia="Arial" w:hAnsi="PublicSans-Light" w:cs="PublicSans-Light"/>
      <w:color w:val="22272B"/>
      <w:spacing w:val="-1"/>
      <w:sz w:val="18"/>
      <w:szCs w:val="18"/>
      <w:lang w:val="en-US" w:eastAsia="en-US"/>
    </w:rPr>
  </w:style>
  <w:style w:type="table" w:customStyle="1" w:styleId="NSWGovernmentFinancialTable">
    <w:name w:val="NSW Government Financial Table"/>
    <w:basedOn w:val="TableNormal"/>
    <w:uiPriority w:val="99"/>
    <w:rsid w:val="002D4D94"/>
    <w:pPr>
      <w:spacing w:after="0" w:line="240" w:lineRule="auto"/>
    </w:pPr>
    <w:rPr>
      <w:rFonts w:eastAsia="Arial" w:cs="Times New Roman"/>
      <w:color w:val="22272B" w:themeColor="text1"/>
      <w:sz w:val="20"/>
      <w:szCs w:val="24"/>
      <w:lang w:eastAsia="en-US"/>
    </w:rPr>
    <w:tblPr>
      <w:tblBorders>
        <w:top w:val="single" w:sz="4" w:space="0" w:color="22272B" w:themeColor="text1"/>
        <w:bottom w:val="single" w:sz="4" w:space="0" w:color="22272B" w:themeColor="text1"/>
        <w:insideH w:val="single" w:sz="4" w:space="0" w:color="22272B" w:themeColor="text1"/>
      </w:tblBorders>
      <w:tblCellMar>
        <w:top w:w="85" w:type="dxa"/>
        <w:left w:w="0" w:type="dxa"/>
        <w:bottom w:w="85" w:type="dxa"/>
        <w:right w:w="0" w:type="dxa"/>
      </w:tblCellMar>
    </w:tblPr>
    <w:tblStylePr w:type="firstRow">
      <w:pPr>
        <w:jc w:val="left"/>
      </w:pPr>
      <w:rPr>
        <w:rFonts w:asciiTheme="majorHAnsi" w:hAnsiTheme="majorHAnsi"/>
        <w:b/>
        <w:color w:val="002664" w:themeColor="background2"/>
      </w:rPr>
      <w:tblPr/>
      <w:tcPr>
        <w:tcBorders>
          <w:top w:val="single" w:sz="4" w:space="0" w:color="22272B" w:themeColor="text1"/>
        </w:tcBorders>
        <w:vAlign w:val="bottom"/>
      </w:tcPr>
    </w:tblStylePr>
  </w:style>
  <w:style w:type="table" w:customStyle="1" w:styleId="NSWGovernmentTable">
    <w:name w:val="NSW Government Table"/>
    <w:basedOn w:val="TableNormal"/>
    <w:uiPriority w:val="99"/>
    <w:rsid w:val="002D4D94"/>
    <w:pPr>
      <w:spacing w:after="0" w:line="240" w:lineRule="auto"/>
    </w:pPr>
    <w:rPr>
      <w:rFonts w:eastAsia="Arial" w:cs="Times New Roman"/>
      <w:color w:val="22272B" w:themeColor="text1"/>
      <w:sz w:val="18"/>
      <w:szCs w:val="24"/>
      <w:lang w:eastAsia="en-US"/>
    </w:rPr>
    <w:tblPr>
      <w:tblStyleRowBandSize w:val="1"/>
      <w:tblBorders>
        <w:bottom w:val="single" w:sz="4" w:space="0" w:color="22272B" w:themeColor="text1"/>
      </w:tblBorders>
      <w:tblCellMar>
        <w:top w:w="85" w:type="dxa"/>
        <w:left w:w="0" w:type="dxa"/>
        <w:bottom w:w="85" w:type="dxa"/>
        <w:right w:w="57" w:type="dxa"/>
      </w:tblCellMar>
    </w:tblPr>
    <w:tblStylePr w:type="firstRow">
      <w:rPr>
        <w:rFonts w:asciiTheme="majorHAnsi" w:hAnsiTheme="majorHAnsi"/>
        <w:b/>
        <w:color w:val="FFFFFF" w:themeColor="background1"/>
      </w:rPr>
      <w:tblPr/>
      <w:tcPr>
        <w:shd w:val="clear" w:color="auto" w:fill="630019" w:themeFill="accent1"/>
      </w:tcPr>
    </w:tblStylePr>
    <w:tblStylePr w:type="band2Horz">
      <w:tblPr/>
      <w:tcPr>
        <w:shd w:val="clear" w:color="auto" w:fill="FFE6EA" w:themeFill="accent4"/>
      </w:tcPr>
    </w:tblStylePr>
  </w:style>
  <w:style w:type="table" w:styleId="ListTable4-Accent3">
    <w:name w:val="List Table 4 Accent 3"/>
    <w:aliases w:val="NSWG Standard Table"/>
    <w:basedOn w:val="TableNormal"/>
    <w:uiPriority w:val="49"/>
    <w:rsid w:val="002D4D94"/>
    <w:pPr>
      <w:spacing w:after="0" w:line="240" w:lineRule="auto"/>
    </w:pPr>
    <w:rPr>
      <w:rFonts w:eastAsia="Arial" w:cs="Times New Roman"/>
      <w:sz w:val="20"/>
      <w:szCs w:val="24"/>
      <w:lang w:eastAsia="en-US"/>
    </w:rPr>
    <w:tblPr>
      <w:tblStyleRowBandSize w:val="1"/>
      <w:tblStyleColBandSize w:val="1"/>
      <w:tblBorders>
        <w:bottom w:val="single" w:sz="4" w:space="0" w:color="22272B" w:themeColor="text1"/>
      </w:tblBorders>
    </w:tblPr>
    <w:tblStylePr w:type="firstRow">
      <w:rPr>
        <w:rFonts w:asciiTheme="majorHAnsi" w:hAnsiTheme="majorHAnsi"/>
        <w:b/>
        <w:bCs/>
        <w:color w:val="002664" w:themeColor="background2"/>
        <w:sz w:val="20"/>
      </w:rPr>
      <w:tblPr/>
      <w:tcPr>
        <w:tcBorders>
          <w:bottom w:val="single" w:sz="4" w:space="0" w:color="22272B" w:themeColor="text1"/>
        </w:tcBorders>
      </w:tcPr>
    </w:tblStylePr>
    <w:tblStylePr w:type="lastRow">
      <w:rPr>
        <w:b/>
        <w:bCs/>
      </w:rPr>
      <w:tblPr/>
      <w:tcPr>
        <w:tcBorders>
          <w:top w:val="double" w:sz="4" w:space="0" w:color="FFD4D9" w:themeColor="accent3" w:themeTint="99"/>
        </w:tcBorders>
      </w:tcPr>
    </w:tblStylePr>
    <w:tblStylePr w:type="firstCol">
      <w:rPr>
        <w:b/>
        <w:bCs/>
      </w:rPr>
    </w:tblStylePr>
    <w:tblStylePr w:type="lastCol">
      <w:rPr>
        <w:b/>
        <w:bCs/>
      </w:rPr>
    </w:tblStylePr>
    <w:tblStylePr w:type="band1Vert">
      <w:tblPr/>
      <w:tcPr>
        <w:shd w:val="clear" w:color="auto" w:fill="FFE6EA" w:themeFill="accent4"/>
      </w:tcPr>
    </w:tblStylePr>
    <w:tblStylePr w:type="band1Horz">
      <w:tblPr/>
      <w:tcPr>
        <w:shd w:val="clear" w:color="auto" w:fill="FFE6EA" w:themeFill="accent4"/>
      </w:tcPr>
    </w:tblStylePr>
  </w:style>
  <w:style w:type="table" w:styleId="ListTable4-Accent4">
    <w:name w:val="List Table 4 Accent 4"/>
    <w:basedOn w:val="TableNormal"/>
    <w:uiPriority w:val="49"/>
    <w:rsid w:val="002D4D94"/>
    <w:pPr>
      <w:spacing w:after="0" w:line="240" w:lineRule="auto"/>
    </w:pPr>
    <w:rPr>
      <w:rFonts w:ascii="Arial" w:eastAsia="Arial" w:hAnsi="Arial" w:cs="Times New Roman"/>
      <w:sz w:val="24"/>
      <w:szCs w:val="24"/>
      <w:lang w:eastAsia="en-US"/>
    </w:rPr>
    <w:tblPr>
      <w:tblStyleRowBandSize w:val="1"/>
      <w:tblStyleColBandSize w:val="1"/>
      <w:tblBorders>
        <w:top w:val="single" w:sz="4" w:space="0" w:color="FFF0F2" w:themeColor="accent4" w:themeTint="99"/>
        <w:left w:val="single" w:sz="4" w:space="0" w:color="FFF0F2" w:themeColor="accent4" w:themeTint="99"/>
        <w:bottom w:val="single" w:sz="4" w:space="0" w:color="FFF0F2" w:themeColor="accent4" w:themeTint="99"/>
        <w:right w:val="single" w:sz="4" w:space="0" w:color="FFF0F2" w:themeColor="accent4" w:themeTint="99"/>
        <w:insideH w:val="single" w:sz="4" w:space="0" w:color="FFF0F2" w:themeColor="accent4" w:themeTint="99"/>
      </w:tblBorders>
      <w:tblCellMar>
        <w:top w:w="85" w:type="dxa"/>
        <w:left w:w="0" w:type="dxa"/>
        <w:bottom w:w="85" w:type="dxa"/>
        <w:right w:w="0" w:type="dxa"/>
      </w:tblCellMar>
    </w:tblPr>
    <w:tblStylePr w:type="firstRow">
      <w:rPr>
        <w:b/>
        <w:bCs/>
        <w:color w:val="FFFFFF" w:themeColor="background1"/>
      </w:rPr>
      <w:tblPr/>
      <w:tcPr>
        <w:tcBorders>
          <w:top w:val="single" w:sz="4" w:space="0" w:color="FFE6EA" w:themeColor="accent4"/>
          <w:left w:val="single" w:sz="4" w:space="0" w:color="FFE6EA" w:themeColor="accent4"/>
          <w:bottom w:val="single" w:sz="4" w:space="0" w:color="FFE6EA" w:themeColor="accent4"/>
          <w:right w:val="single" w:sz="4" w:space="0" w:color="FFE6EA" w:themeColor="accent4"/>
          <w:insideH w:val="nil"/>
        </w:tcBorders>
        <w:shd w:val="clear" w:color="auto" w:fill="FFE6EA" w:themeFill="accent4"/>
      </w:tcPr>
    </w:tblStylePr>
    <w:tblStylePr w:type="lastRow">
      <w:rPr>
        <w:b/>
        <w:bCs/>
      </w:rPr>
      <w:tblPr/>
      <w:tcPr>
        <w:tcBorders>
          <w:top w:val="double" w:sz="4" w:space="0" w:color="FFF0F2" w:themeColor="accent4" w:themeTint="99"/>
        </w:tcBorders>
      </w:tcPr>
    </w:tblStylePr>
    <w:tblStylePr w:type="firstCol">
      <w:rPr>
        <w:b/>
        <w:bCs/>
      </w:rPr>
    </w:tblStylePr>
    <w:tblStylePr w:type="lastCol">
      <w:rPr>
        <w:b/>
        <w:bCs/>
      </w:rPr>
    </w:tblStylePr>
    <w:tblStylePr w:type="band1Vert">
      <w:tblPr/>
      <w:tcPr>
        <w:shd w:val="clear" w:color="auto" w:fill="FFFAFA" w:themeFill="accent4" w:themeFillTint="33"/>
      </w:tcPr>
    </w:tblStylePr>
    <w:tblStylePr w:type="band1Horz">
      <w:tblPr/>
      <w:tcPr>
        <w:shd w:val="clear" w:color="auto" w:fill="FFFAFA" w:themeFill="accent4" w:themeFillTint="33"/>
      </w:tcPr>
    </w:tblStylePr>
  </w:style>
  <w:style w:type="table" w:customStyle="1" w:styleId="NSWGovernmentTableAlternate">
    <w:name w:val="NSW Government Table Alternate"/>
    <w:basedOn w:val="TableNormal"/>
    <w:uiPriority w:val="99"/>
    <w:rsid w:val="002D4D94"/>
    <w:pPr>
      <w:spacing w:after="0" w:line="240" w:lineRule="auto"/>
    </w:pPr>
    <w:rPr>
      <w:rFonts w:eastAsia="Arial" w:cs="Times New Roman"/>
      <w:sz w:val="18"/>
      <w:szCs w:val="24"/>
      <w:lang w:eastAsia="en-US"/>
    </w:rPr>
    <w:tblPr>
      <w:tblStyleRowBandSize w:val="1"/>
      <w:tblBorders>
        <w:bottom w:val="single" w:sz="4" w:space="0" w:color="auto"/>
      </w:tblBorders>
      <w:tblCellMar>
        <w:top w:w="85" w:type="dxa"/>
        <w:left w:w="0" w:type="dxa"/>
        <w:bottom w:w="85" w:type="dxa"/>
        <w:right w:w="57" w:type="dxa"/>
      </w:tblCellMar>
    </w:tblPr>
    <w:tblStylePr w:type="firstRow">
      <w:rPr>
        <w:rFonts w:asciiTheme="majorHAnsi" w:hAnsiTheme="majorHAnsi"/>
        <w:b/>
        <w:color w:val="002664" w:themeColor="background2"/>
        <w:sz w:val="20"/>
      </w:rPr>
      <w:tblPr/>
      <w:tcPr>
        <w:tcBorders>
          <w:bottom w:val="single" w:sz="4" w:space="0" w:color="auto"/>
        </w:tcBorders>
      </w:tcPr>
    </w:tblStylePr>
    <w:tblStylePr w:type="band2Horz">
      <w:tblPr/>
      <w:tcPr>
        <w:shd w:val="clear" w:color="auto" w:fill="C0C6C9"/>
      </w:tcPr>
    </w:tblStylePr>
  </w:style>
  <w:style w:type="paragraph" w:customStyle="1" w:styleId="Greyboxnumber">
    <w:name w:val="Grey box number"/>
    <w:basedOn w:val="Normal"/>
    <w:rsid w:val="002D4D94"/>
    <w:pPr>
      <w:suppressAutoHyphens w:val="0"/>
    </w:pPr>
    <w:rPr>
      <w:rFonts w:asciiTheme="minorHAnsi" w:eastAsia="Arial" w:hAnsiTheme="minorHAnsi" w:cs="Times New Roman"/>
      <w:color w:val="22272B" w:themeColor="text1"/>
      <w:sz w:val="98"/>
      <w:szCs w:val="98"/>
      <w:lang w:eastAsia="en-US"/>
    </w:rPr>
  </w:style>
  <w:style w:type="paragraph" w:customStyle="1" w:styleId="Infographictext">
    <w:name w:val="Infographic text"/>
    <w:basedOn w:val="Normal"/>
    <w:rsid w:val="002D4D94"/>
    <w:pPr>
      <w:suppressAutoHyphens w:val="0"/>
      <w:spacing w:after="120"/>
    </w:pPr>
    <w:rPr>
      <w:rFonts w:asciiTheme="minorHAnsi" w:eastAsia="Arial" w:hAnsiTheme="minorHAnsi" w:cs="Times New Roman"/>
      <w:color w:val="002664" w:themeColor="background2"/>
      <w:sz w:val="22"/>
      <w:szCs w:val="24"/>
      <w:lang w:eastAsia="en-US"/>
    </w:rPr>
  </w:style>
  <w:style w:type="paragraph" w:customStyle="1" w:styleId="Infographicnumber">
    <w:name w:val="Infographic number"/>
    <w:basedOn w:val="Normal"/>
    <w:rsid w:val="002D4D94"/>
    <w:pPr>
      <w:suppressAutoHyphens w:val="0"/>
      <w:spacing w:before="240" w:line="192" w:lineRule="auto"/>
    </w:pPr>
    <w:rPr>
      <w:rFonts w:asciiTheme="minorHAnsi" w:eastAsia="Arial" w:hAnsiTheme="minorHAnsi" w:cs="Times New Roman"/>
      <w:color w:val="002664" w:themeColor="background2"/>
      <w:sz w:val="80"/>
      <w:szCs w:val="80"/>
      <w:lang w:eastAsia="en-US"/>
    </w:rPr>
  </w:style>
  <w:style w:type="table" w:customStyle="1" w:styleId="NSWGTableGrey">
    <w:name w:val="NSWG Table Grey"/>
    <w:basedOn w:val="TableNormal"/>
    <w:uiPriority w:val="99"/>
    <w:rsid w:val="002D4D94"/>
    <w:pPr>
      <w:spacing w:after="0" w:line="240" w:lineRule="auto"/>
    </w:pPr>
    <w:rPr>
      <w:rFonts w:eastAsia="Arial" w:cs="Times New Roman"/>
      <w:sz w:val="20"/>
      <w:szCs w:val="24"/>
      <w:lang w:eastAsia="en-US"/>
    </w:rPr>
    <w:tblPr>
      <w:tblStyleColBandSize w:val="1"/>
      <w:tblCellMar>
        <w:top w:w="113" w:type="dxa"/>
        <w:bottom w:w="113" w:type="dxa"/>
      </w:tblCellMar>
    </w:tblPr>
    <w:tcPr>
      <w:shd w:val="clear" w:color="auto" w:fill="auto"/>
    </w:tcPr>
    <w:tblStylePr w:type="band1Vert">
      <w:tblPr/>
      <w:tcPr>
        <w:shd w:val="clear" w:color="auto" w:fill="EBEBEB"/>
      </w:tcPr>
    </w:tblStylePr>
  </w:style>
  <w:style w:type="table" w:customStyle="1" w:styleId="NSWGGrey">
    <w:name w:val="NSWG Grey"/>
    <w:basedOn w:val="TableNormal"/>
    <w:uiPriority w:val="99"/>
    <w:rsid w:val="002D4D94"/>
    <w:pPr>
      <w:spacing w:after="0" w:line="240" w:lineRule="auto"/>
    </w:pPr>
    <w:rPr>
      <w:rFonts w:eastAsia="Arial" w:cs="Times New Roman"/>
      <w:sz w:val="20"/>
      <w:szCs w:val="24"/>
      <w:lang w:eastAsia="en-US"/>
    </w:rPr>
    <w:tblPr>
      <w:tblStyleRowBandSize w:val="1"/>
      <w:tblStyleColBandSize w:val="1"/>
    </w:tblPr>
    <w:tcPr>
      <w:shd w:val="clear" w:color="auto" w:fill="auto"/>
    </w:tcPr>
    <w:tblStylePr w:type="band1Vert">
      <w:tblPr/>
      <w:tcPr>
        <w:shd w:val="clear" w:color="auto" w:fill="EBEBEB"/>
      </w:tcPr>
    </w:tblStylePr>
  </w:style>
  <w:style w:type="table" w:customStyle="1" w:styleId="NSWGovernmentInfographicTable">
    <w:name w:val="NSW Government Infographic Table"/>
    <w:basedOn w:val="TableNormal"/>
    <w:uiPriority w:val="99"/>
    <w:rsid w:val="002D4D94"/>
    <w:pPr>
      <w:spacing w:after="0" w:line="240" w:lineRule="auto"/>
    </w:pPr>
    <w:rPr>
      <w:rFonts w:eastAsia="Arial" w:cs="Times New Roman"/>
      <w:color w:val="002664" w:themeColor="background2"/>
      <w:sz w:val="20"/>
      <w:szCs w:val="24"/>
      <w:lang w:eastAsia="en-US"/>
    </w:rPr>
    <w:tblPr>
      <w:tblBorders>
        <w:top w:val="single" w:sz="4" w:space="0" w:color="002664" w:themeColor="background2"/>
        <w:insideH w:val="single" w:sz="4" w:space="0" w:color="002664" w:themeColor="background2"/>
      </w:tblBorders>
      <w:tblCellMar>
        <w:top w:w="85" w:type="dxa"/>
        <w:left w:w="0" w:type="dxa"/>
        <w:bottom w:w="85" w:type="dxa"/>
        <w:right w:w="0" w:type="dxa"/>
      </w:tblCellMar>
    </w:tblPr>
  </w:style>
  <w:style w:type="paragraph" w:customStyle="1" w:styleId="InfographicTableLargeText">
    <w:name w:val="Infographic Table Large Text"/>
    <w:basedOn w:val="Normal"/>
    <w:rsid w:val="002D4D94"/>
    <w:pPr>
      <w:suppressAutoHyphens w:val="0"/>
      <w:spacing w:after="120" w:line="360" w:lineRule="atLeast"/>
    </w:pPr>
    <w:rPr>
      <w:rFonts w:asciiTheme="minorHAnsi" w:eastAsia="Arial" w:hAnsiTheme="minorHAnsi" w:cs="Times New Roman"/>
      <w:color w:val="002664" w:themeColor="background2"/>
      <w:sz w:val="28"/>
      <w:szCs w:val="28"/>
      <w:lang w:eastAsia="en-US"/>
    </w:rPr>
  </w:style>
  <w:style w:type="paragraph" w:styleId="List">
    <w:name w:val="List"/>
    <w:basedOn w:val="Normal"/>
    <w:unhideWhenUsed/>
    <w:rsid w:val="002D4D94"/>
    <w:pPr>
      <w:numPr>
        <w:numId w:val="12"/>
      </w:numPr>
      <w:tabs>
        <w:tab w:val="clear" w:pos="284"/>
      </w:tabs>
      <w:suppressAutoHyphens w:val="0"/>
      <w:spacing w:before="120" w:after="120"/>
      <w:ind w:left="720" w:hanging="360"/>
    </w:pPr>
    <w:rPr>
      <w:rFonts w:asciiTheme="minorHAnsi" w:eastAsia="Arial" w:hAnsiTheme="minorHAnsi" w:cs="Times New Roman"/>
      <w:color w:val="22272B" w:themeColor="text1"/>
      <w:sz w:val="22"/>
      <w:szCs w:val="24"/>
      <w:lang w:eastAsia="en-US"/>
    </w:rPr>
  </w:style>
  <w:style w:type="paragraph" w:customStyle="1" w:styleId="Covertextwhite">
    <w:name w:val="Cover text white"/>
    <w:basedOn w:val="Covertext"/>
    <w:rsid w:val="002D4D94"/>
    <w:pPr>
      <w:tabs>
        <w:tab w:val="clear" w:pos="9899"/>
        <w:tab w:val="left" w:pos="5216"/>
        <w:tab w:val="right" w:pos="9923"/>
      </w:tabs>
      <w:suppressAutoHyphens/>
      <w:autoSpaceDE w:val="0"/>
      <w:autoSpaceDN w:val="0"/>
      <w:adjustRightInd w:val="0"/>
      <w:textAlignment w:val="center"/>
    </w:pPr>
    <w:rPr>
      <w:color w:val="FFFFFF" w:themeColor="background1"/>
      <w:sz w:val="24"/>
      <w:szCs w:val="24"/>
    </w:rPr>
  </w:style>
  <w:style w:type="paragraph" w:customStyle="1" w:styleId="Dividertitle">
    <w:name w:val="Divider title"/>
    <w:basedOn w:val="CoverDocumenttitle"/>
    <w:rsid w:val="002D4D94"/>
    <w:rPr>
      <w:lang w:val="en-US"/>
    </w:rPr>
  </w:style>
  <w:style w:type="paragraph" w:customStyle="1" w:styleId="Divider">
    <w:name w:val="Divider #"/>
    <w:basedOn w:val="Dividertitle"/>
    <w:rsid w:val="002D4D94"/>
    <w:rPr>
      <w:bCs/>
      <w:sz w:val="642"/>
      <w:szCs w:val="642"/>
      <w:lang w:val="en-AU"/>
    </w:rPr>
  </w:style>
  <w:style w:type="paragraph" w:customStyle="1" w:styleId="Intropara">
    <w:name w:val="Intro para"/>
    <w:basedOn w:val="Normal"/>
    <w:rsid w:val="002D4D94"/>
    <w:pPr>
      <w:suppressAutoHyphens w:val="0"/>
      <w:spacing w:before="240" w:after="567"/>
    </w:pPr>
    <w:rPr>
      <w:rFonts w:asciiTheme="minorHAnsi" w:eastAsia="Arial" w:hAnsiTheme="minorHAnsi" w:cs="Times New Roman"/>
      <w:color w:val="002664" w:themeColor="background2"/>
      <w:sz w:val="32"/>
      <w:szCs w:val="32"/>
      <w:lang w:eastAsia="en-US"/>
    </w:rPr>
  </w:style>
  <w:style w:type="paragraph" w:customStyle="1" w:styleId="Quoteattribution">
    <w:name w:val="Quote attribution"/>
    <w:rsid w:val="002D4D94"/>
    <w:pPr>
      <w:numPr>
        <w:numId w:val="13"/>
      </w:numPr>
      <w:tabs>
        <w:tab w:val="num" w:pos="360"/>
      </w:tabs>
      <w:spacing w:before="120" w:after="120" w:line="240" w:lineRule="auto"/>
      <w:ind w:left="284" w:hanging="284"/>
    </w:pPr>
    <w:rPr>
      <w:rFonts w:asciiTheme="majorHAnsi" w:eastAsia="Arial" w:hAnsiTheme="majorHAnsi" w:cs="Times New Roman"/>
      <w:b/>
      <w:bCs/>
      <w:color w:val="002664" w:themeColor="background2"/>
      <w:szCs w:val="24"/>
      <w:lang w:eastAsia="en-US"/>
    </w:rPr>
  </w:style>
  <w:style w:type="paragraph" w:customStyle="1" w:styleId="CoverDocumenttitlewhite">
    <w:name w:val="Cover Document title white"/>
    <w:basedOn w:val="CoverDocumenttitle"/>
    <w:rsid w:val="002D4D94"/>
    <w:rPr>
      <w:color w:val="FFFFFF" w:themeColor="background1"/>
    </w:rPr>
  </w:style>
  <w:style w:type="paragraph" w:customStyle="1" w:styleId="TableHeading">
    <w:name w:val="Table Heading"/>
    <w:basedOn w:val="Normal"/>
    <w:rsid w:val="002D4D94"/>
    <w:pPr>
      <w:suppressAutoHyphens w:val="0"/>
    </w:pPr>
    <w:rPr>
      <w:rFonts w:asciiTheme="majorHAnsi" w:eastAsia="Arial" w:hAnsiTheme="majorHAnsi" w:cs="Times New Roman"/>
      <w:color w:val="002664" w:themeColor="background2"/>
      <w:sz w:val="18"/>
      <w:szCs w:val="18"/>
      <w:lang w:eastAsia="en-US"/>
    </w:rPr>
  </w:style>
  <w:style w:type="paragraph" w:customStyle="1" w:styleId="TableText">
    <w:name w:val="Table Text"/>
    <w:basedOn w:val="Normal"/>
    <w:qFormat/>
    <w:rsid w:val="002D4D94"/>
    <w:pPr>
      <w:suppressAutoHyphens w:val="0"/>
    </w:pPr>
    <w:rPr>
      <w:rFonts w:asciiTheme="minorHAnsi" w:eastAsia="Arial" w:hAnsiTheme="minorHAnsi" w:cs="Times New Roman"/>
      <w:color w:val="22272B" w:themeColor="text1"/>
      <w:szCs w:val="24"/>
      <w:lang w:eastAsia="en-US"/>
    </w:rPr>
  </w:style>
  <w:style w:type="paragraph" w:customStyle="1" w:styleId="TableSemiBold">
    <w:name w:val="Table SemiBold"/>
    <w:basedOn w:val="TableText"/>
    <w:rsid w:val="002D4D94"/>
    <w:rPr>
      <w:rFonts w:ascii="Public Sans SemiBold" w:hAnsi="Public Sans SemiBold"/>
    </w:rPr>
  </w:style>
  <w:style w:type="paragraph" w:customStyle="1" w:styleId="CoverSubtitleWhite">
    <w:name w:val="Cover Subtitle White"/>
    <w:basedOn w:val="CoverSubtitle"/>
    <w:rsid w:val="002D4D94"/>
    <w:rPr>
      <w:color w:val="FFFFFF" w:themeColor="background1"/>
    </w:rPr>
  </w:style>
  <w:style w:type="paragraph" w:customStyle="1" w:styleId="Lista">
    <w:name w:val="List a."/>
    <w:basedOn w:val="List"/>
    <w:rsid w:val="002D4D94"/>
    <w:pPr>
      <w:numPr>
        <w:ilvl w:val="1"/>
      </w:numPr>
      <w:tabs>
        <w:tab w:val="clear" w:pos="567"/>
      </w:tabs>
      <w:ind w:left="1440" w:hanging="360"/>
    </w:pPr>
  </w:style>
  <w:style w:type="paragraph" w:customStyle="1" w:styleId="Listi">
    <w:name w:val="List i."/>
    <w:basedOn w:val="Lista"/>
    <w:rsid w:val="002D4D94"/>
    <w:pPr>
      <w:numPr>
        <w:ilvl w:val="2"/>
      </w:numPr>
      <w:tabs>
        <w:tab w:val="clear" w:pos="851"/>
      </w:tabs>
      <w:ind w:left="2160" w:hanging="360"/>
    </w:pPr>
  </w:style>
  <w:style w:type="paragraph" w:customStyle="1" w:styleId="CoverDocumenttitlegrey">
    <w:name w:val="Cover Document title grey"/>
    <w:basedOn w:val="CoverDocumenttitle"/>
    <w:rsid w:val="002D4D94"/>
    <w:rPr>
      <w:color w:val="22272B" w:themeColor="text1"/>
    </w:rPr>
  </w:style>
  <w:style w:type="paragraph" w:customStyle="1" w:styleId="CoverURLWhite0">
    <w:name w:val="Cover URL White"/>
    <w:basedOn w:val="Covertextwhite"/>
    <w:rsid w:val="002D4D94"/>
    <w:rPr>
      <w:sz w:val="22"/>
      <w:szCs w:val="22"/>
    </w:rPr>
  </w:style>
  <w:style w:type="paragraph" w:customStyle="1" w:styleId="Coverdatewhite">
    <w:name w:val="Cover date white"/>
    <w:basedOn w:val="Covertextwhite"/>
    <w:rsid w:val="002D4D94"/>
    <w:rPr>
      <w:sz w:val="22"/>
      <w:szCs w:val="22"/>
    </w:rPr>
  </w:style>
  <w:style w:type="paragraph" w:customStyle="1" w:styleId="CoverSubtitleGrey">
    <w:name w:val="Cover Subtitle Grey"/>
    <w:basedOn w:val="CoverSubtitle"/>
    <w:rsid w:val="002D4D94"/>
    <w:rPr>
      <w:color w:val="22272B" w:themeColor="text1"/>
    </w:rPr>
  </w:style>
  <w:style w:type="paragraph" w:customStyle="1" w:styleId="Coverdategrey">
    <w:name w:val="Cover date grey"/>
    <w:basedOn w:val="Coverdate"/>
    <w:rsid w:val="002D4D94"/>
    <w:pPr>
      <w:tabs>
        <w:tab w:val="clear" w:pos="5216"/>
        <w:tab w:val="clear" w:pos="9923"/>
        <w:tab w:val="right" w:pos="9899"/>
      </w:tabs>
      <w:suppressAutoHyphens w:val="0"/>
      <w:autoSpaceDE/>
      <w:autoSpaceDN/>
      <w:adjustRightInd/>
      <w:textAlignment w:val="auto"/>
    </w:pPr>
    <w:rPr>
      <w:color w:val="22272B" w:themeColor="text1"/>
    </w:rPr>
  </w:style>
  <w:style w:type="paragraph" w:customStyle="1" w:styleId="CoverURLgrey">
    <w:name w:val="Cover URL grey"/>
    <w:basedOn w:val="CoverURL"/>
    <w:rsid w:val="002D4D94"/>
    <w:pPr>
      <w:jc w:val="left"/>
    </w:pPr>
    <w:rPr>
      <w:color w:val="22272B" w:themeColor="text1"/>
    </w:rPr>
  </w:style>
  <w:style w:type="paragraph" w:customStyle="1" w:styleId="Covergraphic">
    <w:name w:val="Cover graphic"/>
    <w:basedOn w:val="Normal"/>
    <w:rsid w:val="002D4D94"/>
    <w:pPr>
      <w:suppressAutoHyphens w:val="0"/>
      <w:spacing w:before="100"/>
      <w:ind w:left="-851"/>
    </w:pPr>
    <w:rPr>
      <w:rFonts w:asciiTheme="minorHAnsi" w:eastAsia="Arial" w:hAnsiTheme="minorHAnsi" w:cs="Times New Roman"/>
      <w:noProof/>
      <w:color w:val="22272B" w:themeColor="text1"/>
      <w:sz w:val="22"/>
      <w:szCs w:val="24"/>
      <w:lang w:eastAsia="en-US"/>
    </w:rPr>
  </w:style>
  <w:style w:type="paragraph" w:customStyle="1" w:styleId="Descriptorwhite">
    <w:name w:val="Descriptor white"/>
    <w:basedOn w:val="Descriptor"/>
    <w:rsid w:val="002D4D94"/>
    <w:pPr>
      <w:tabs>
        <w:tab w:val="clear" w:pos="10206"/>
      </w:tabs>
      <w:suppressAutoHyphens w:val="0"/>
      <w:contextualSpacing w:val="0"/>
    </w:pPr>
    <w:rPr>
      <w:rFonts w:ascii="Public Sans SemiBold" w:eastAsia="Arial" w:hAnsi="Public Sans SemiBold" w:cs="Times New Roman"/>
      <w:szCs w:val="28"/>
      <w:lang w:val="en-US" w:eastAsia="en-US"/>
    </w:rPr>
  </w:style>
  <w:style w:type="paragraph" w:customStyle="1" w:styleId="Heading2Topofcolumn">
    <w:name w:val="Heading 2 Top of column"/>
    <w:basedOn w:val="Heading2"/>
    <w:rsid w:val="002D4D94"/>
    <w:pPr>
      <w:widowControl w:val="0"/>
      <w:numPr>
        <w:ilvl w:val="0"/>
        <w:numId w:val="0"/>
      </w:numPr>
      <w:pBdr>
        <w:top w:val="single" w:sz="4" w:space="6" w:color="002664" w:themeColor="background2"/>
      </w:pBdr>
      <w:suppressAutoHyphens/>
      <w:autoSpaceDE w:val="0"/>
      <w:autoSpaceDN w:val="0"/>
      <w:adjustRightInd w:val="0"/>
      <w:spacing w:before="0" w:after="284" w:line="192" w:lineRule="auto"/>
      <w:textAlignment w:val="center"/>
    </w:pPr>
    <w:rPr>
      <w:rFonts w:asciiTheme="majorHAnsi" w:eastAsia="Arial" w:hAnsiTheme="majorHAnsi" w:cs="ArialMT"/>
      <w:bCs/>
      <w:color w:val="002664" w:themeColor="background2"/>
      <w:sz w:val="36"/>
      <w:szCs w:val="36"/>
      <w:lang w:eastAsia="en-US"/>
    </w:rPr>
  </w:style>
  <w:style w:type="paragraph" w:customStyle="1" w:styleId="SubtitleWhite">
    <w:name w:val="Subtitle White"/>
    <w:basedOn w:val="Subtitle"/>
    <w:rsid w:val="002D4D94"/>
    <w:pPr>
      <w:pBdr>
        <w:top w:val="none" w:sz="0" w:space="0" w:color="auto"/>
      </w:pBdr>
      <w:suppressAutoHyphens w:val="0"/>
      <w:spacing w:after="160"/>
    </w:pPr>
    <w:rPr>
      <w:color w:val="FFFFFF" w:themeColor="background1"/>
      <w:sz w:val="36"/>
      <w:szCs w:val="36"/>
      <w:lang w:val="en-US"/>
    </w:rPr>
  </w:style>
  <w:style w:type="paragraph" w:customStyle="1" w:styleId="TableHeadingWhite">
    <w:name w:val="Table Heading White"/>
    <w:basedOn w:val="TableHeading"/>
    <w:rsid w:val="002D4D94"/>
    <w:rPr>
      <w:b/>
      <w:color w:val="FFFFFF" w:themeColor="background1"/>
    </w:rPr>
  </w:style>
  <w:style w:type="paragraph" w:styleId="Revision">
    <w:name w:val="Revision"/>
    <w:hidden/>
    <w:uiPriority w:val="99"/>
    <w:semiHidden/>
    <w:rsid w:val="002D4D94"/>
    <w:pPr>
      <w:spacing w:after="0" w:line="240" w:lineRule="auto"/>
    </w:pPr>
    <w:rPr>
      <w:rFonts w:eastAsia="Arial" w:cs="Times New Roman"/>
      <w:color w:val="22272B" w:themeColor="text1"/>
      <w:szCs w:val="24"/>
      <w:lang w:eastAsia="en-US"/>
    </w:rPr>
  </w:style>
  <w:style w:type="paragraph" w:customStyle="1" w:styleId="par-l">
    <w:name w:val="par-l"/>
    <w:basedOn w:val="Normal"/>
    <w:rsid w:val="002D4D94"/>
    <w:pPr>
      <w:suppressAutoHyphens w:val="0"/>
      <w:spacing w:before="100" w:beforeAutospacing="1" w:after="100" w:afterAutospacing="1"/>
    </w:pPr>
    <w:rPr>
      <w:rFonts w:ascii="Times New Roman" w:eastAsia="Times New Roman" w:hAnsi="Times New Roman" w:cs="Times New Roman"/>
      <w:color w:val="auto"/>
      <w:sz w:val="24"/>
      <w:szCs w:val="24"/>
      <w:lang w:eastAsia="en-AU"/>
    </w:rPr>
  </w:style>
  <w:style w:type="paragraph" w:customStyle="1" w:styleId="Reporttitle">
    <w:name w:val="Report title"/>
    <w:basedOn w:val="Normal"/>
    <w:qFormat/>
    <w:rsid w:val="002D4D94"/>
    <w:pPr>
      <w:suppressAutoHyphens w:val="0"/>
    </w:pPr>
    <w:rPr>
      <w:rFonts w:asciiTheme="minorHAnsi" w:eastAsia="Times New Roman" w:hAnsiTheme="minorHAnsi" w:cs="Segoe UI"/>
      <w:b/>
      <w:caps/>
      <w:color w:val="6B0A1C" w:themeColor="accent2" w:themeShade="80"/>
      <w:sz w:val="48"/>
      <w:szCs w:val="84"/>
      <w:lang w:eastAsia="en-US"/>
    </w:rPr>
  </w:style>
  <w:style w:type="character" w:customStyle="1" w:styleId="maroon">
    <w:name w:val="maroon"/>
    <w:basedOn w:val="DefaultParagraphFont"/>
    <w:rsid w:val="002D4D94"/>
    <w:rPr>
      <w:rFonts w:cs="Times New Roman"/>
    </w:rPr>
  </w:style>
  <w:style w:type="paragraph" w:customStyle="1" w:styleId="Coremessagetext">
    <w:name w:val="Core message text"/>
    <w:basedOn w:val="BodyText"/>
    <w:rsid w:val="002D4D94"/>
    <w:pPr>
      <w:tabs>
        <w:tab w:val="clear" w:pos="357"/>
        <w:tab w:val="clear" w:pos="714"/>
        <w:tab w:val="clear" w:pos="2552"/>
      </w:tabs>
      <w:suppressAutoHyphens w:val="0"/>
      <w:spacing w:before="80" w:after="80" w:line="260" w:lineRule="atLeast"/>
    </w:pPr>
    <w:rPr>
      <w:rFonts w:ascii="Arial" w:eastAsia="Times New Roman" w:hAnsi="Arial" w:cs="Times New Roman"/>
      <w:color w:val="auto"/>
      <w:lang w:eastAsia="en-US"/>
    </w:rPr>
  </w:style>
  <w:style w:type="paragraph" w:customStyle="1" w:styleId="Default">
    <w:name w:val="Default"/>
    <w:rsid w:val="002D4D94"/>
    <w:pPr>
      <w:autoSpaceDE w:val="0"/>
      <w:autoSpaceDN w:val="0"/>
      <w:adjustRightInd w:val="0"/>
      <w:spacing w:after="0" w:line="240" w:lineRule="auto"/>
    </w:pPr>
    <w:rPr>
      <w:rFonts w:ascii="Arial" w:eastAsia="Times New Roman" w:hAnsi="Arial" w:cs="Arial"/>
      <w:color w:val="000000"/>
      <w:sz w:val="24"/>
      <w:szCs w:val="24"/>
      <w:lang w:eastAsia="en-AU"/>
    </w:rPr>
  </w:style>
  <w:style w:type="character" w:styleId="FollowedHyperlink">
    <w:name w:val="FollowedHyperlink"/>
    <w:basedOn w:val="DefaultParagraphFont"/>
    <w:uiPriority w:val="99"/>
    <w:semiHidden/>
    <w:unhideWhenUsed/>
    <w:rsid w:val="002D4D94"/>
    <w:rPr>
      <w:color w:val="22272B" w:themeColor="followedHyperlink"/>
      <w:u w:val="single"/>
    </w:rPr>
  </w:style>
  <w:style w:type="character" w:styleId="Mention">
    <w:name w:val="Mention"/>
    <w:basedOn w:val="DefaultParagraphFont"/>
    <w:uiPriority w:val="99"/>
    <w:unhideWhenUsed/>
    <w:rsid w:val="002D4D94"/>
    <w:rPr>
      <w:color w:val="2B579A"/>
      <w:shd w:val="clear" w:color="auto" w:fill="E1DFDD"/>
    </w:rPr>
  </w:style>
  <w:style w:type="character" w:customStyle="1" w:styleId="Heading0Char">
    <w:name w:val="Heading 0 Char"/>
    <w:link w:val="Heading0"/>
    <w:rsid w:val="002D4D94"/>
    <w:rPr>
      <w:rFonts w:ascii="Arial Bold" w:hAnsi="Arial Bold" w:cs="Arial"/>
      <w:b/>
      <w:caps/>
      <w:color w:val="003366"/>
      <w:sz w:val="36"/>
      <w:szCs w:val="36"/>
    </w:rPr>
  </w:style>
  <w:style w:type="paragraph" w:customStyle="1" w:styleId="Keypointsheading">
    <w:name w:val="Key points heading"/>
    <w:basedOn w:val="Heading2"/>
    <w:next w:val="Bullet"/>
    <w:rsid w:val="002D4D94"/>
    <w:pPr>
      <w:numPr>
        <w:ilvl w:val="0"/>
        <w:numId w:val="0"/>
      </w:numPr>
      <w:pBdr>
        <w:top w:val="none" w:sz="0" w:space="0" w:color="auto"/>
      </w:pBdr>
      <w:spacing w:after="180"/>
    </w:pPr>
    <w:rPr>
      <w:rFonts w:ascii="Arial" w:eastAsia="Times New Roman" w:hAnsi="Arial" w:cs="Arial"/>
      <w:b/>
      <w:color w:val="003366"/>
      <w:sz w:val="24"/>
      <w:szCs w:val="24"/>
      <w:lang w:eastAsia="en-US"/>
    </w:rPr>
  </w:style>
  <w:style w:type="paragraph" w:customStyle="1" w:styleId="Tableheading0">
    <w:name w:val="Table heading"/>
    <w:basedOn w:val="Normal"/>
    <w:next w:val="Tabletext0"/>
    <w:link w:val="TableheadingChar"/>
    <w:qFormat/>
    <w:rsid w:val="002D4D94"/>
    <w:pPr>
      <w:suppressAutoHyphens w:val="0"/>
      <w:spacing w:before="60" w:after="60" w:line="288" w:lineRule="auto"/>
    </w:pPr>
    <w:rPr>
      <w:rFonts w:ascii="Arial" w:eastAsia="Times New Roman" w:hAnsi="Arial" w:cs="Arial"/>
      <w:b/>
      <w:bCs/>
      <w:color w:val="FFFFFF"/>
      <w:lang w:eastAsia="en-US"/>
    </w:rPr>
  </w:style>
  <w:style w:type="paragraph" w:styleId="DocumentMap">
    <w:name w:val="Document Map"/>
    <w:basedOn w:val="Normal"/>
    <w:link w:val="DocumentMapChar"/>
    <w:uiPriority w:val="99"/>
    <w:semiHidden/>
    <w:unhideWhenUsed/>
    <w:rsid w:val="002D4D94"/>
    <w:pPr>
      <w:suppressAutoHyphens w:val="0"/>
      <w:spacing w:before="180" w:after="180" w:line="288" w:lineRule="auto"/>
    </w:pPr>
    <w:rPr>
      <w:rFonts w:ascii="Tahoma" w:eastAsia="Times New Roman" w:hAnsi="Tahoma" w:cs="Tahoma"/>
      <w:color w:val="auto"/>
      <w:sz w:val="16"/>
      <w:szCs w:val="16"/>
      <w:lang w:eastAsia="en-US"/>
    </w:rPr>
  </w:style>
  <w:style w:type="character" w:customStyle="1" w:styleId="DocumentMapChar">
    <w:name w:val="Document Map Char"/>
    <w:basedOn w:val="DefaultParagraphFont"/>
    <w:link w:val="DocumentMap"/>
    <w:uiPriority w:val="99"/>
    <w:semiHidden/>
    <w:rsid w:val="002D4D94"/>
    <w:rPr>
      <w:rFonts w:ascii="Tahoma" w:eastAsia="Times New Roman" w:hAnsi="Tahoma" w:cs="Tahoma"/>
      <w:sz w:val="16"/>
      <w:szCs w:val="16"/>
      <w:lang w:eastAsia="en-US"/>
    </w:rPr>
  </w:style>
  <w:style w:type="paragraph" w:customStyle="1" w:styleId="Bullet">
    <w:name w:val="Bullet"/>
    <w:basedOn w:val="BodyText"/>
    <w:link w:val="BulletChar"/>
    <w:qFormat/>
    <w:rsid w:val="002D4D94"/>
    <w:pPr>
      <w:numPr>
        <w:numId w:val="14"/>
      </w:numPr>
      <w:tabs>
        <w:tab w:val="clear" w:pos="360"/>
        <w:tab w:val="clear" w:pos="714"/>
        <w:tab w:val="clear" w:pos="2552"/>
        <w:tab w:val="num" w:pos="600"/>
      </w:tabs>
      <w:suppressAutoHyphens w:val="0"/>
      <w:spacing w:before="180" w:after="180" w:line="288" w:lineRule="auto"/>
      <w:ind w:left="595" w:hanging="357"/>
      <w:outlineLvl w:val="0"/>
    </w:pPr>
    <w:rPr>
      <w:rFonts w:ascii="Arial" w:eastAsia="Times New Roman" w:hAnsi="Arial" w:cs="Arial"/>
      <w:color w:val="auto"/>
      <w:lang w:eastAsia="en-US"/>
    </w:rPr>
  </w:style>
  <w:style w:type="paragraph" w:customStyle="1" w:styleId="Heading0">
    <w:name w:val="Heading 0"/>
    <w:next w:val="Heading1"/>
    <w:link w:val="Heading0Char"/>
    <w:rsid w:val="002D4D94"/>
    <w:pPr>
      <w:spacing w:before="240" w:after="180" w:line="240" w:lineRule="auto"/>
    </w:pPr>
    <w:rPr>
      <w:rFonts w:ascii="Arial Bold" w:hAnsi="Arial Bold" w:cs="Arial"/>
      <w:b/>
      <w:caps/>
      <w:color w:val="003366"/>
      <w:sz w:val="36"/>
      <w:szCs w:val="36"/>
    </w:rPr>
  </w:style>
  <w:style w:type="paragraph" w:customStyle="1" w:styleId="Note">
    <w:name w:val="Note"/>
    <w:basedOn w:val="BodyText"/>
    <w:next w:val="BodyText"/>
    <w:rsid w:val="002D4D94"/>
    <w:pPr>
      <w:tabs>
        <w:tab w:val="clear" w:pos="357"/>
        <w:tab w:val="clear" w:pos="714"/>
        <w:tab w:val="clear" w:pos="2552"/>
      </w:tabs>
      <w:suppressAutoHyphens w:val="0"/>
      <w:spacing w:before="80" w:after="240" w:line="288" w:lineRule="auto"/>
      <w:outlineLvl w:val="0"/>
    </w:pPr>
    <w:rPr>
      <w:rFonts w:ascii="Arial" w:eastAsia="Times New Roman" w:hAnsi="Arial" w:cs="Arial"/>
      <w:color w:val="auto"/>
      <w:sz w:val="16"/>
      <w:lang w:eastAsia="en-US"/>
    </w:rPr>
  </w:style>
  <w:style w:type="paragraph" w:customStyle="1" w:styleId="Tabletext0">
    <w:name w:val="Table text"/>
    <w:basedOn w:val="Normal"/>
    <w:qFormat/>
    <w:rsid w:val="002D4D94"/>
    <w:pPr>
      <w:suppressAutoHyphens w:val="0"/>
      <w:spacing w:before="60" w:after="60" w:line="288" w:lineRule="auto"/>
    </w:pPr>
    <w:rPr>
      <w:rFonts w:ascii="Arial" w:eastAsia="Times New Roman" w:hAnsi="Arial" w:cs="Arial"/>
      <w:color w:val="auto"/>
      <w:lang w:eastAsia="en-US"/>
    </w:rPr>
  </w:style>
  <w:style w:type="paragraph" w:customStyle="1" w:styleId="Heading0Style">
    <w:name w:val="Heading 0 Style"/>
    <w:basedOn w:val="Heading0"/>
    <w:link w:val="Heading0StyleChar"/>
    <w:qFormat/>
    <w:rsid w:val="002D4D94"/>
    <w:rPr>
      <w:caps w:val="0"/>
    </w:rPr>
  </w:style>
  <w:style w:type="character" w:customStyle="1" w:styleId="Heading0StyleChar">
    <w:name w:val="Heading 0 Style Char"/>
    <w:link w:val="Heading0Style"/>
    <w:rsid w:val="002D4D94"/>
    <w:rPr>
      <w:rFonts w:ascii="Arial Bold" w:hAnsi="Arial Bold" w:cs="Arial"/>
      <w:b/>
      <w:color w:val="003366"/>
      <w:sz w:val="36"/>
      <w:szCs w:val="36"/>
    </w:rPr>
  </w:style>
  <w:style w:type="character" w:styleId="SubtleEmphasis">
    <w:name w:val="Subtle Emphasis"/>
    <w:basedOn w:val="DefaultParagraphFont"/>
    <w:uiPriority w:val="19"/>
    <w:qFormat/>
    <w:rsid w:val="002D4D94"/>
    <w:rPr>
      <w:i/>
      <w:iCs/>
      <w:color w:val="86949F" w:themeColor="text1" w:themeTint="7F"/>
    </w:rPr>
  </w:style>
  <w:style w:type="table" w:styleId="LightShading-Accent5">
    <w:name w:val="Light Shading Accent 5"/>
    <w:basedOn w:val="TableNormal"/>
    <w:uiPriority w:val="60"/>
    <w:rsid w:val="002D4D94"/>
    <w:pPr>
      <w:spacing w:after="0" w:line="240" w:lineRule="auto"/>
    </w:pPr>
    <w:rPr>
      <w:rFonts w:ascii="Times New Roman" w:eastAsia="Times New Roman" w:hAnsi="Times New Roman" w:cs="Times New Roman"/>
      <w:color w:val="BB8203" w:themeColor="accent5" w:themeShade="BF"/>
      <w:sz w:val="20"/>
      <w:szCs w:val="20"/>
      <w:lang w:eastAsia="en-AU"/>
    </w:rPr>
    <w:tblPr>
      <w:tblStyleRowBandSize w:val="1"/>
      <w:tblStyleColBandSize w:val="1"/>
      <w:tblBorders>
        <w:top w:val="single" w:sz="8" w:space="0" w:color="FAAF05" w:themeColor="accent5"/>
        <w:bottom w:val="single" w:sz="8" w:space="0" w:color="FAAF05" w:themeColor="accent5"/>
      </w:tblBorders>
    </w:tblPr>
    <w:tblStylePr w:type="firstRow">
      <w:pPr>
        <w:spacing w:before="0" w:after="0" w:line="240" w:lineRule="auto"/>
      </w:pPr>
      <w:rPr>
        <w:b/>
        <w:bCs/>
      </w:rPr>
      <w:tblPr/>
      <w:tcPr>
        <w:tcBorders>
          <w:top w:val="single" w:sz="8" w:space="0" w:color="FAAF05" w:themeColor="accent5"/>
          <w:left w:val="nil"/>
          <w:bottom w:val="single" w:sz="8" w:space="0" w:color="FAAF05" w:themeColor="accent5"/>
          <w:right w:val="nil"/>
          <w:insideH w:val="nil"/>
          <w:insideV w:val="nil"/>
        </w:tcBorders>
      </w:tcPr>
    </w:tblStylePr>
    <w:tblStylePr w:type="lastRow">
      <w:pPr>
        <w:spacing w:before="0" w:after="0" w:line="240" w:lineRule="auto"/>
      </w:pPr>
      <w:rPr>
        <w:b/>
        <w:bCs/>
      </w:rPr>
      <w:tblPr/>
      <w:tcPr>
        <w:tcBorders>
          <w:top w:val="single" w:sz="8" w:space="0" w:color="FAAF05" w:themeColor="accent5"/>
          <w:left w:val="nil"/>
          <w:bottom w:val="single" w:sz="8" w:space="0" w:color="FAAF0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BC1" w:themeFill="accent5" w:themeFillTint="3F"/>
      </w:tcPr>
    </w:tblStylePr>
    <w:tblStylePr w:type="band1Horz">
      <w:tblPr/>
      <w:tcPr>
        <w:tcBorders>
          <w:left w:val="nil"/>
          <w:right w:val="nil"/>
          <w:insideH w:val="nil"/>
          <w:insideV w:val="nil"/>
        </w:tcBorders>
        <w:shd w:val="clear" w:color="auto" w:fill="FDEBC1" w:themeFill="accent5" w:themeFillTint="3F"/>
      </w:tcPr>
    </w:tblStylePr>
  </w:style>
  <w:style w:type="table" w:styleId="ListTable4-Accent1">
    <w:name w:val="List Table 4 Accent 1"/>
    <w:basedOn w:val="TableNormal"/>
    <w:uiPriority w:val="49"/>
    <w:rsid w:val="002D4D94"/>
    <w:pPr>
      <w:spacing w:after="0" w:line="240" w:lineRule="auto"/>
    </w:pPr>
    <w:rPr>
      <w:rFonts w:ascii="Calibri" w:eastAsia="Calibri" w:hAnsi="Calibri" w:cs="Times New Roman"/>
      <w:sz w:val="20"/>
      <w:szCs w:val="20"/>
      <w:lang w:eastAsia="en-AU"/>
    </w:rPr>
    <w:tblPr>
      <w:tblStyleRowBandSize w:val="1"/>
      <w:tblStyleColBandSize w:val="1"/>
      <w:tblBorders>
        <w:top w:val="single" w:sz="4" w:space="0" w:color="FF0846" w:themeColor="accent1" w:themeTint="99"/>
        <w:left w:val="single" w:sz="4" w:space="0" w:color="FF0846" w:themeColor="accent1" w:themeTint="99"/>
        <w:bottom w:val="single" w:sz="4" w:space="0" w:color="FF0846" w:themeColor="accent1" w:themeTint="99"/>
        <w:right w:val="single" w:sz="4" w:space="0" w:color="FF0846" w:themeColor="accent1" w:themeTint="99"/>
        <w:insideH w:val="single" w:sz="4" w:space="0" w:color="FF0846" w:themeColor="accent1" w:themeTint="99"/>
      </w:tblBorders>
    </w:tblPr>
    <w:tblStylePr w:type="firstRow">
      <w:rPr>
        <w:b/>
        <w:bCs/>
        <w:color w:val="FFFFFF" w:themeColor="background1"/>
      </w:rPr>
      <w:tblPr/>
      <w:tcPr>
        <w:tcBorders>
          <w:top w:val="single" w:sz="4" w:space="0" w:color="630019" w:themeColor="accent1"/>
          <w:left w:val="single" w:sz="4" w:space="0" w:color="630019" w:themeColor="accent1"/>
          <w:bottom w:val="single" w:sz="4" w:space="0" w:color="630019" w:themeColor="accent1"/>
          <w:right w:val="single" w:sz="4" w:space="0" w:color="630019" w:themeColor="accent1"/>
          <w:insideH w:val="nil"/>
        </w:tcBorders>
        <w:shd w:val="clear" w:color="auto" w:fill="630019" w:themeFill="accent1"/>
      </w:tcPr>
    </w:tblStylePr>
    <w:tblStylePr w:type="lastRow">
      <w:rPr>
        <w:b/>
        <w:bCs/>
      </w:rPr>
      <w:tblPr/>
      <w:tcPr>
        <w:tcBorders>
          <w:top w:val="double" w:sz="4" w:space="0" w:color="FF0846" w:themeColor="accent1" w:themeTint="99"/>
        </w:tcBorders>
      </w:tcPr>
    </w:tblStylePr>
    <w:tblStylePr w:type="firstCol">
      <w:rPr>
        <w:b/>
        <w:bCs/>
      </w:rPr>
    </w:tblStylePr>
    <w:tblStylePr w:type="lastCol">
      <w:rPr>
        <w:b/>
        <w:bCs/>
      </w:rPr>
    </w:tblStylePr>
    <w:tblStylePr w:type="band1Vert">
      <w:tblPr/>
      <w:tcPr>
        <w:shd w:val="clear" w:color="auto" w:fill="FFACC1" w:themeFill="accent1" w:themeFillTint="33"/>
      </w:tcPr>
    </w:tblStylePr>
    <w:tblStylePr w:type="band1Horz">
      <w:tblPr/>
      <w:tcPr>
        <w:shd w:val="clear" w:color="auto" w:fill="FFACC1" w:themeFill="accent1" w:themeFillTint="33"/>
      </w:tcPr>
    </w:tblStylePr>
  </w:style>
  <w:style w:type="paragraph" w:styleId="NoSpacing">
    <w:name w:val="No Spacing"/>
    <w:uiPriority w:val="1"/>
    <w:qFormat/>
    <w:rsid w:val="002D4D94"/>
    <w:pPr>
      <w:spacing w:after="0" w:line="240" w:lineRule="auto"/>
    </w:pPr>
    <w:rPr>
      <w:rFonts w:ascii="Arial" w:eastAsia="Times New Roman" w:hAnsi="Arial" w:cs="Times New Roman"/>
      <w:szCs w:val="20"/>
      <w:lang w:eastAsia="en-US"/>
    </w:rPr>
  </w:style>
  <w:style w:type="paragraph" w:customStyle="1" w:styleId="Bulletbodytext">
    <w:name w:val="Bullet body text"/>
    <w:basedOn w:val="BodyText"/>
    <w:link w:val="BulletbodytextChar"/>
    <w:qFormat/>
    <w:rsid w:val="002D4D94"/>
    <w:pPr>
      <w:numPr>
        <w:numId w:val="15"/>
      </w:numPr>
      <w:tabs>
        <w:tab w:val="clear" w:pos="357"/>
        <w:tab w:val="clear" w:pos="714"/>
        <w:tab w:val="clear" w:pos="2552"/>
      </w:tabs>
      <w:suppressAutoHyphens w:val="0"/>
      <w:spacing w:before="0" w:line="280" w:lineRule="exact"/>
    </w:pPr>
    <w:rPr>
      <w:rFonts w:ascii="Arial" w:eastAsia="Times New Roman" w:hAnsi="Arial" w:cs="Times New Roman"/>
      <w:color w:val="auto"/>
      <w:szCs w:val="20"/>
      <w:lang w:val="x-none" w:eastAsia="x-none"/>
    </w:rPr>
  </w:style>
  <w:style w:type="character" w:customStyle="1" w:styleId="BulletbodytextChar">
    <w:name w:val="Bullet body text Char"/>
    <w:link w:val="Bulletbodytext"/>
    <w:rsid w:val="002D4D94"/>
    <w:rPr>
      <w:rFonts w:ascii="Arial" w:eastAsia="Times New Roman" w:hAnsi="Arial" w:cs="Times New Roman"/>
      <w:szCs w:val="20"/>
      <w:lang w:val="x-none" w:eastAsia="x-none"/>
    </w:rPr>
  </w:style>
  <w:style w:type="character" w:customStyle="1" w:styleId="ui-provider">
    <w:name w:val="ui-provider"/>
    <w:basedOn w:val="DefaultParagraphFont"/>
    <w:rsid w:val="002D4D94"/>
  </w:style>
  <w:style w:type="table" w:customStyle="1" w:styleId="Style1">
    <w:name w:val="Style1"/>
    <w:basedOn w:val="TableNormal"/>
    <w:uiPriority w:val="99"/>
    <w:rsid w:val="002D4D94"/>
    <w:pPr>
      <w:spacing w:after="120" w:line="216" w:lineRule="auto"/>
    </w:pPr>
    <w:rPr>
      <w:rFonts w:ascii="Arial" w:eastAsia="Calibri" w:hAnsi="Arial" w:cs="Times New Roman"/>
      <w:sz w:val="20"/>
      <w:szCs w:val="20"/>
      <w:lang w:eastAsia="en-AU"/>
    </w:rPr>
    <w:tblPr>
      <w:tbl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blBorders>
      <w:tblCellMar>
        <w:top w:w="57" w:type="dxa"/>
        <w:left w:w="57" w:type="dxa"/>
        <w:bottom w:w="57" w:type="dxa"/>
        <w:right w:w="57" w:type="dxa"/>
      </w:tblCellMar>
    </w:tblPr>
    <w:tblStylePr w:type="firstRow">
      <w:rPr>
        <w:b/>
        <w:color w:val="22272B" w:themeColor="text1"/>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D9D9D9" w:themeFill="background1" w:themeFillShade="D9"/>
      </w:tcPr>
    </w:tblStylePr>
    <w:tblStylePr w:type="firstCol">
      <w:rPr>
        <w:b/>
      </w:rPr>
      <w:tblPr/>
      <w:tcPr>
        <w:shd w:val="clear" w:color="auto" w:fill="D9D9D9" w:themeFill="background1" w:themeFillShade="D9"/>
      </w:tcPr>
    </w:tblStylePr>
  </w:style>
  <w:style w:type="table" w:customStyle="1" w:styleId="NousTableTopandside">
    <w:name w:val="Nous Table_Top and side"/>
    <w:basedOn w:val="TableNormal"/>
    <w:uiPriority w:val="99"/>
    <w:rsid w:val="002D4D94"/>
    <w:pPr>
      <w:spacing w:after="0" w:line="240" w:lineRule="auto"/>
    </w:pPr>
    <w:rPr>
      <w:rFonts w:eastAsiaTheme="minorHAnsi"/>
      <w:lang w:val="en-US" w:eastAsia="en-US"/>
    </w:rPr>
    <w:tblPr>
      <w:tblBorders>
        <w:insideH w:val="single" w:sz="8" w:space="0" w:color="F9F9F9"/>
      </w:tblBorders>
      <w:tblCellMar>
        <w:top w:w="57" w:type="dxa"/>
        <w:left w:w="85" w:type="dxa"/>
        <w:bottom w:w="57" w:type="dxa"/>
        <w:right w:w="85" w:type="dxa"/>
      </w:tblCellMar>
    </w:tblPr>
    <w:tblStylePr w:type="firstRow">
      <w:pPr>
        <w:jc w:val="left"/>
      </w:pPr>
      <w:rPr>
        <w:rFonts w:ascii="@Yu Gothic" w:hAnsi="@Yu Gothic"/>
        <w:b w:val="0"/>
        <w:color w:val="002664" w:themeColor="background2"/>
        <w:sz w:val="18"/>
      </w:rPr>
      <w:tblPr/>
      <w:tcPr>
        <w:tcBorders>
          <w:top w:val="single" w:sz="24" w:space="0" w:color="FFB8C1" w:themeColor="accent3"/>
          <w:insideV w:val="single" w:sz="8" w:space="0" w:color="FFFFFF" w:themeColor="background1"/>
        </w:tcBorders>
        <w:shd w:val="clear" w:color="auto" w:fill="FAAF05" w:themeFill="accent5"/>
        <w:vAlign w:val="center"/>
      </w:tcPr>
    </w:tblStylePr>
    <w:tblStylePr w:type="firstCol">
      <w:pPr>
        <w:jc w:val="left"/>
      </w:pPr>
      <w:rPr>
        <w:rFonts w:ascii="@Yu Gothic" w:hAnsi="@Yu Gothic"/>
        <w:b w:val="0"/>
        <w:color w:val="002664" w:themeColor="background2"/>
        <w:sz w:val="18"/>
      </w:rPr>
      <w:tblPr/>
      <w:tcPr>
        <w:tcBorders>
          <w:left w:val="nil"/>
        </w:tcBorders>
        <w:shd w:val="clear" w:color="auto" w:fill="FAAF05" w:themeFill="accent5"/>
      </w:tcPr>
    </w:tblStylePr>
  </w:style>
  <w:style w:type="paragraph" w:customStyle="1" w:styleId="Number">
    <w:name w:val="Number"/>
    <w:basedOn w:val="Bulletbodytext"/>
    <w:link w:val="NumberChar"/>
    <w:qFormat/>
    <w:rsid w:val="002D4D94"/>
    <w:pPr>
      <w:numPr>
        <w:numId w:val="24"/>
      </w:numPr>
    </w:pPr>
  </w:style>
  <w:style w:type="character" w:customStyle="1" w:styleId="NumberChar">
    <w:name w:val="Number Char"/>
    <w:basedOn w:val="BulletbodytextChar"/>
    <w:link w:val="Number"/>
    <w:rsid w:val="002D4D94"/>
    <w:rPr>
      <w:rFonts w:ascii="Arial" w:eastAsia="Times New Roman" w:hAnsi="Arial" w:cs="Times New Roman"/>
      <w:szCs w:val="20"/>
      <w:lang w:val="x-none" w:eastAsia="x-none"/>
    </w:rPr>
  </w:style>
  <w:style w:type="paragraph" w:customStyle="1" w:styleId="TableNheader">
    <w:name w:val="Table N header"/>
    <w:basedOn w:val="Normal"/>
    <w:uiPriority w:val="2"/>
    <w:qFormat/>
    <w:rsid w:val="002D4D94"/>
    <w:pPr>
      <w:suppressAutoHyphens w:val="0"/>
      <w:spacing w:before="40" w:after="40"/>
    </w:pPr>
    <w:rPr>
      <w:rFonts w:ascii="Segoe UI Semibold" w:eastAsia="Times New Roman" w:hAnsi="Segoe UI Semibold" w:cs="Times New Roman"/>
      <w:color w:val="002664" w:themeColor="background2"/>
      <w:sz w:val="18"/>
      <w:lang w:eastAsia="en-US"/>
    </w:rPr>
  </w:style>
  <w:style w:type="paragraph" w:customStyle="1" w:styleId="TableNText">
    <w:name w:val="Table N Text"/>
    <w:basedOn w:val="Normal"/>
    <w:link w:val="TableNTextChar"/>
    <w:uiPriority w:val="2"/>
    <w:qFormat/>
    <w:rsid w:val="002D4D94"/>
    <w:pPr>
      <w:suppressAutoHyphens w:val="0"/>
      <w:spacing w:before="60" w:after="60" w:line="288" w:lineRule="auto"/>
      <w:ind w:left="57"/>
    </w:pPr>
    <w:rPr>
      <w:rFonts w:asciiTheme="minorHAnsi" w:eastAsia="Times New Roman" w:hAnsiTheme="minorHAnsi" w:cs="Times New Roman"/>
      <w:color w:val="auto"/>
      <w:sz w:val="17"/>
      <w:lang w:eastAsia="en-US"/>
    </w:rPr>
  </w:style>
  <w:style w:type="paragraph" w:customStyle="1" w:styleId="TableNBullet">
    <w:name w:val="Table N Bullet"/>
    <w:basedOn w:val="Bullet"/>
    <w:link w:val="TableNBulletChar"/>
    <w:uiPriority w:val="2"/>
    <w:qFormat/>
    <w:rsid w:val="002D4D94"/>
    <w:pPr>
      <w:numPr>
        <w:numId w:val="17"/>
      </w:numPr>
      <w:tabs>
        <w:tab w:val="num" w:pos="360"/>
        <w:tab w:val="num" w:pos="794"/>
      </w:tabs>
      <w:suppressAutoHyphens/>
      <w:spacing w:before="60" w:after="60"/>
      <w:ind w:left="247" w:firstLine="113"/>
      <w:outlineLvl w:val="9"/>
    </w:pPr>
    <w:rPr>
      <w:rFonts w:cs="Times New Roman"/>
      <w:sz w:val="17"/>
      <w:szCs w:val="19"/>
      <w:lang w:eastAsia="en-AU"/>
    </w:rPr>
  </w:style>
  <w:style w:type="paragraph" w:customStyle="1" w:styleId="TableNListnumbered">
    <w:name w:val="Table N List (numbered)"/>
    <w:basedOn w:val="TableNBullet"/>
    <w:uiPriority w:val="2"/>
    <w:qFormat/>
    <w:rsid w:val="002D4D94"/>
    <w:pPr>
      <w:numPr>
        <w:numId w:val="0"/>
      </w:numPr>
      <w:tabs>
        <w:tab w:val="num" w:pos="360"/>
        <w:tab w:val="num" w:pos="794"/>
      </w:tabs>
      <w:ind w:left="1440" w:hanging="360"/>
    </w:pPr>
  </w:style>
  <w:style w:type="paragraph" w:customStyle="1" w:styleId="xAppendixLevel1">
    <w:name w:val="xAppendix Level 1"/>
    <w:basedOn w:val="Heading1"/>
    <w:next w:val="Normal"/>
    <w:uiPriority w:val="98"/>
    <w:qFormat/>
    <w:rsid w:val="002D4D94"/>
    <w:pPr>
      <w:keepNext/>
      <w:pageBreakBefore/>
      <w:numPr>
        <w:numId w:val="16"/>
      </w:numPr>
      <w:pBdr>
        <w:top w:val="none" w:sz="0" w:space="0" w:color="auto"/>
      </w:pBdr>
      <w:spacing w:before="180" w:after="600"/>
      <w:ind w:left="3686"/>
    </w:pPr>
    <w:rPr>
      <w:rFonts w:ascii="Arial" w:eastAsia="Times New Roman" w:hAnsi="Arial" w:cs="Times New Roman"/>
      <w:b/>
      <w:bCs/>
      <w:color w:val="00264D"/>
      <w:szCs w:val="19"/>
      <w:lang w:eastAsia="en-AU"/>
    </w:rPr>
  </w:style>
  <w:style w:type="paragraph" w:customStyle="1" w:styleId="xAppendixLevel2">
    <w:name w:val="xAppendix Level 2"/>
    <w:basedOn w:val="Heading2"/>
    <w:next w:val="Normal"/>
    <w:uiPriority w:val="98"/>
    <w:qFormat/>
    <w:rsid w:val="002D4D94"/>
    <w:pPr>
      <w:keepNext/>
      <w:numPr>
        <w:numId w:val="16"/>
      </w:numPr>
      <w:pBdr>
        <w:top w:val="none" w:sz="0" w:space="0" w:color="auto"/>
      </w:pBdr>
      <w:spacing w:before="480" w:after="180" w:line="380" w:lineRule="exact"/>
    </w:pPr>
    <w:rPr>
      <w:rFonts w:ascii="Segoe UI Semibold" w:eastAsia="Times New Roman" w:hAnsi="Segoe UI Semibold" w:cs="Times New Roman"/>
      <w:bCs/>
      <w:color w:val="00264D"/>
      <w:sz w:val="34"/>
      <w:szCs w:val="19"/>
      <w:lang w:eastAsia="en-AU"/>
    </w:rPr>
  </w:style>
  <w:style w:type="paragraph" w:customStyle="1" w:styleId="xAppendixLevel3">
    <w:name w:val="xAppendix Level 3"/>
    <w:basedOn w:val="Heading3"/>
    <w:next w:val="Normal"/>
    <w:uiPriority w:val="98"/>
    <w:qFormat/>
    <w:rsid w:val="002D4D94"/>
    <w:pPr>
      <w:keepLines w:val="0"/>
      <w:numPr>
        <w:ilvl w:val="0"/>
        <w:numId w:val="0"/>
      </w:numPr>
      <w:suppressAutoHyphens w:val="0"/>
      <w:spacing w:before="480" w:after="60" w:line="288" w:lineRule="auto"/>
      <w:ind w:left="567" w:hanging="851"/>
    </w:pPr>
    <w:rPr>
      <w:rFonts w:ascii="Segoe UI Semibold" w:eastAsia="Times New Roman" w:hAnsi="Segoe UI Semibold" w:cs="Times New Roman"/>
      <w:bCs/>
      <w:color w:val="00264D"/>
      <w:sz w:val="26"/>
      <w:szCs w:val="19"/>
      <w:lang w:eastAsia="en-AU"/>
    </w:rPr>
  </w:style>
  <w:style w:type="paragraph" w:customStyle="1" w:styleId="Listnumbered">
    <w:name w:val="List (numbered)"/>
    <w:basedOn w:val="Normal"/>
    <w:uiPriority w:val="1"/>
    <w:qFormat/>
    <w:rsid w:val="002D4D94"/>
    <w:pPr>
      <w:suppressAutoHyphens w:val="0"/>
      <w:spacing w:before="180" w:after="180" w:line="288" w:lineRule="auto"/>
      <w:ind w:left="786" w:hanging="360"/>
    </w:pPr>
    <w:rPr>
      <w:rFonts w:ascii="Arial" w:eastAsia="Times New Roman" w:hAnsi="Arial" w:cs="Times New Roman"/>
      <w:color w:val="auto"/>
      <w:sz w:val="22"/>
      <w:lang w:eastAsia="en-US"/>
    </w:rPr>
  </w:style>
  <w:style w:type="paragraph" w:customStyle="1" w:styleId="Source">
    <w:name w:val="Source"/>
    <w:basedOn w:val="Normal"/>
    <w:next w:val="Normal"/>
    <w:link w:val="SourceChar"/>
    <w:uiPriority w:val="39"/>
    <w:rsid w:val="002D4D94"/>
    <w:pPr>
      <w:suppressAutoHyphens w:val="0"/>
      <w:spacing w:before="120" w:after="240" w:line="288" w:lineRule="auto"/>
    </w:pPr>
    <w:rPr>
      <w:rFonts w:ascii="Arial" w:eastAsia="Times New Roman" w:hAnsi="Arial" w:cs="Times New Roman"/>
      <w:i/>
      <w:color w:val="auto"/>
      <w:sz w:val="17"/>
      <w:szCs w:val="19"/>
      <w:lang w:eastAsia="en-AU"/>
    </w:rPr>
  </w:style>
  <w:style w:type="character" w:customStyle="1" w:styleId="SourceChar">
    <w:name w:val="Source Char"/>
    <w:basedOn w:val="DefaultParagraphFont"/>
    <w:link w:val="Source"/>
    <w:uiPriority w:val="39"/>
    <w:rsid w:val="002D4D94"/>
    <w:rPr>
      <w:rFonts w:ascii="Arial" w:eastAsia="Times New Roman" w:hAnsi="Arial" w:cs="Times New Roman"/>
      <w:i/>
      <w:sz w:val="17"/>
      <w:szCs w:val="19"/>
      <w:lang w:eastAsia="en-AU"/>
    </w:rPr>
  </w:style>
  <w:style w:type="paragraph" w:customStyle="1" w:styleId="TableExpbullet">
    <w:name w:val="Table Exp bullet"/>
    <w:basedOn w:val="Normal"/>
    <w:uiPriority w:val="3"/>
    <w:qFormat/>
    <w:rsid w:val="002D4D94"/>
    <w:pPr>
      <w:numPr>
        <w:numId w:val="22"/>
      </w:numPr>
      <w:suppressAutoHyphens w:val="0"/>
      <w:spacing w:before="60" w:after="60" w:line="288" w:lineRule="auto"/>
      <w:ind w:left="414" w:hanging="357"/>
    </w:pPr>
    <w:rPr>
      <w:rFonts w:asciiTheme="minorHAnsi" w:eastAsia="Times New Roman" w:hAnsiTheme="minorHAnsi" w:cs="Times New Roman"/>
      <w:color w:val="auto"/>
      <w:sz w:val="17"/>
      <w:lang w:eastAsia="en-US"/>
    </w:rPr>
  </w:style>
  <w:style w:type="paragraph" w:customStyle="1" w:styleId="Tableexpheader">
    <w:name w:val="Table exp header"/>
    <w:basedOn w:val="Normal"/>
    <w:uiPriority w:val="3"/>
    <w:qFormat/>
    <w:rsid w:val="002D4D94"/>
    <w:pPr>
      <w:suppressAutoHyphens w:val="0"/>
      <w:spacing w:before="40" w:after="40"/>
    </w:pPr>
    <w:rPr>
      <w:rFonts w:ascii="Segoe UI Semibold" w:eastAsia="Times New Roman" w:hAnsi="Segoe UI Semibold" w:cs="Times New Roman"/>
      <w:color w:val="auto"/>
      <w:sz w:val="17"/>
      <w:lang w:eastAsia="en-US"/>
    </w:rPr>
  </w:style>
  <w:style w:type="paragraph" w:customStyle="1" w:styleId="TableexpListnumbered">
    <w:name w:val="Table exp List (numbered)"/>
    <w:basedOn w:val="Normal"/>
    <w:uiPriority w:val="3"/>
    <w:qFormat/>
    <w:rsid w:val="002D4D94"/>
    <w:pPr>
      <w:suppressAutoHyphens w:val="0"/>
      <w:spacing w:before="60" w:after="60" w:line="288" w:lineRule="auto"/>
      <w:ind w:left="720" w:hanging="360"/>
    </w:pPr>
    <w:rPr>
      <w:rFonts w:ascii="Arial" w:eastAsia="Times New Roman" w:hAnsi="Arial" w:cs="Times New Roman"/>
      <w:color w:val="auto"/>
      <w:sz w:val="16"/>
      <w:lang w:eastAsia="en-US"/>
    </w:rPr>
  </w:style>
  <w:style w:type="paragraph" w:customStyle="1" w:styleId="TableExpText">
    <w:name w:val="Table Exp Text"/>
    <w:basedOn w:val="Normal"/>
    <w:uiPriority w:val="3"/>
    <w:qFormat/>
    <w:rsid w:val="002D4D94"/>
    <w:pPr>
      <w:suppressAutoHyphens w:val="0"/>
      <w:spacing w:before="180" w:after="180" w:line="288" w:lineRule="auto"/>
    </w:pPr>
    <w:rPr>
      <w:rFonts w:ascii="Arial" w:eastAsia="Times New Roman" w:hAnsi="Arial" w:cs="Times New Roman"/>
      <w:color w:val="auto"/>
      <w:sz w:val="16"/>
      <w:lang w:eastAsia="en-US"/>
    </w:rPr>
  </w:style>
  <w:style w:type="table" w:styleId="LightList-Accent5">
    <w:name w:val="Light List Accent 5"/>
    <w:basedOn w:val="TableNormal"/>
    <w:uiPriority w:val="61"/>
    <w:rsid w:val="002D4D94"/>
    <w:pPr>
      <w:spacing w:after="0" w:line="240" w:lineRule="auto"/>
    </w:pPr>
    <w:rPr>
      <w:rFonts w:eastAsiaTheme="minorHAnsi"/>
      <w:lang w:val="en-US" w:eastAsia="en-US"/>
    </w:rPr>
    <w:tblPr>
      <w:tblStyleRowBandSize w:val="1"/>
      <w:tblStyleColBandSize w:val="1"/>
      <w:tblBorders>
        <w:top w:val="single" w:sz="8" w:space="0" w:color="FAAF05" w:themeColor="accent5"/>
        <w:left w:val="single" w:sz="8" w:space="0" w:color="FAAF05" w:themeColor="accent5"/>
        <w:bottom w:val="single" w:sz="8" w:space="0" w:color="FAAF05" w:themeColor="accent5"/>
        <w:right w:val="single" w:sz="8" w:space="0" w:color="FAAF05" w:themeColor="accent5"/>
      </w:tblBorders>
    </w:tblPr>
    <w:tblStylePr w:type="firstRow">
      <w:pPr>
        <w:spacing w:before="0" w:after="0" w:line="240" w:lineRule="auto"/>
      </w:pPr>
      <w:rPr>
        <w:b/>
        <w:bCs/>
        <w:color w:val="FFFFFF" w:themeColor="background1"/>
      </w:rPr>
      <w:tblPr/>
      <w:tcPr>
        <w:shd w:val="clear" w:color="auto" w:fill="FAAF05" w:themeFill="accent5"/>
      </w:tcPr>
    </w:tblStylePr>
    <w:tblStylePr w:type="lastRow">
      <w:pPr>
        <w:spacing w:before="0" w:after="0" w:line="240" w:lineRule="auto"/>
      </w:pPr>
      <w:rPr>
        <w:b/>
        <w:bCs/>
      </w:rPr>
      <w:tblPr/>
      <w:tcPr>
        <w:tcBorders>
          <w:top w:val="double" w:sz="6" w:space="0" w:color="FAAF05" w:themeColor="accent5"/>
          <w:left w:val="single" w:sz="8" w:space="0" w:color="FAAF05" w:themeColor="accent5"/>
          <w:bottom w:val="single" w:sz="8" w:space="0" w:color="FAAF05" w:themeColor="accent5"/>
          <w:right w:val="single" w:sz="8" w:space="0" w:color="FAAF05" w:themeColor="accent5"/>
        </w:tcBorders>
      </w:tcPr>
    </w:tblStylePr>
    <w:tblStylePr w:type="firstCol">
      <w:rPr>
        <w:b/>
        <w:bCs/>
      </w:rPr>
    </w:tblStylePr>
    <w:tblStylePr w:type="lastCol">
      <w:rPr>
        <w:b/>
        <w:bCs/>
      </w:rPr>
    </w:tblStylePr>
    <w:tblStylePr w:type="band1Vert">
      <w:tblPr/>
      <w:tcPr>
        <w:tcBorders>
          <w:top w:val="single" w:sz="8" w:space="0" w:color="FAAF05" w:themeColor="accent5"/>
          <w:left w:val="single" w:sz="8" w:space="0" w:color="FAAF05" w:themeColor="accent5"/>
          <w:bottom w:val="single" w:sz="8" w:space="0" w:color="FAAF05" w:themeColor="accent5"/>
          <w:right w:val="single" w:sz="8" w:space="0" w:color="FAAF05" w:themeColor="accent5"/>
        </w:tcBorders>
      </w:tcPr>
    </w:tblStylePr>
    <w:tblStylePr w:type="band1Horz">
      <w:tblPr/>
      <w:tcPr>
        <w:tcBorders>
          <w:top w:val="single" w:sz="8" w:space="0" w:color="FAAF05" w:themeColor="accent5"/>
          <w:left w:val="single" w:sz="8" w:space="0" w:color="FAAF05" w:themeColor="accent5"/>
          <w:bottom w:val="single" w:sz="8" w:space="0" w:color="FAAF05" w:themeColor="accent5"/>
          <w:right w:val="single" w:sz="8" w:space="0" w:color="FAAF05" w:themeColor="accent5"/>
        </w:tcBorders>
      </w:tcPr>
    </w:tblStylePr>
  </w:style>
  <w:style w:type="table" w:styleId="MediumShading1-Accent5">
    <w:name w:val="Medium Shading 1 Accent 5"/>
    <w:basedOn w:val="TableNormal"/>
    <w:uiPriority w:val="63"/>
    <w:rsid w:val="002D4D94"/>
    <w:pPr>
      <w:spacing w:after="0" w:line="240" w:lineRule="auto"/>
    </w:pPr>
    <w:rPr>
      <w:rFonts w:eastAsiaTheme="minorHAnsi"/>
      <w:lang w:val="en-US" w:eastAsia="en-US"/>
    </w:rPr>
    <w:tblPr>
      <w:tblStyleRowBandSize w:val="1"/>
      <w:tblStyleColBandSize w:val="1"/>
      <w:tblBorders>
        <w:top w:val="single" w:sz="8" w:space="0" w:color="FBC243" w:themeColor="accent5" w:themeTint="BF"/>
        <w:left w:val="single" w:sz="8" w:space="0" w:color="FBC243" w:themeColor="accent5" w:themeTint="BF"/>
        <w:bottom w:val="single" w:sz="8" w:space="0" w:color="FBC243" w:themeColor="accent5" w:themeTint="BF"/>
        <w:right w:val="single" w:sz="8" w:space="0" w:color="FBC243" w:themeColor="accent5" w:themeTint="BF"/>
        <w:insideH w:val="single" w:sz="8" w:space="0" w:color="FBC243" w:themeColor="accent5" w:themeTint="BF"/>
      </w:tblBorders>
    </w:tblPr>
    <w:tblStylePr w:type="firstRow">
      <w:pPr>
        <w:spacing w:before="0" w:after="0" w:line="240" w:lineRule="auto"/>
      </w:pPr>
      <w:rPr>
        <w:b/>
        <w:bCs/>
        <w:color w:val="FFFFFF" w:themeColor="background1"/>
      </w:rPr>
      <w:tblPr/>
      <w:tcPr>
        <w:tcBorders>
          <w:top w:val="single" w:sz="8" w:space="0" w:color="FBC243" w:themeColor="accent5" w:themeTint="BF"/>
          <w:left w:val="single" w:sz="8" w:space="0" w:color="FBC243" w:themeColor="accent5" w:themeTint="BF"/>
          <w:bottom w:val="single" w:sz="8" w:space="0" w:color="FBC243" w:themeColor="accent5" w:themeTint="BF"/>
          <w:right w:val="single" w:sz="8" w:space="0" w:color="FBC243" w:themeColor="accent5" w:themeTint="BF"/>
          <w:insideH w:val="nil"/>
          <w:insideV w:val="nil"/>
        </w:tcBorders>
        <w:shd w:val="clear" w:color="auto" w:fill="FAAF05" w:themeFill="accent5"/>
      </w:tcPr>
    </w:tblStylePr>
    <w:tblStylePr w:type="lastRow">
      <w:pPr>
        <w:spacing w:before="0" w:after="0" w:line="240" w:lineRule="auto"/>
      </w:pPr>
      <w:rPr>
        <w:b/>
        <w:bCs/>
      </w:rPr>
      <w:tblPr/>
      <w:tcPr>
        <w:tcBorders>
          <w:top w:val="double" w:sz="6" w:space="0" w:color="FBC243" w:themeColor="accent5" w:themeTint="BF"/>
          <w:left w:val="single" w:sz="8" w:space="0" w:color="FBC243" w:themeColor="accent5" w:themeTint="BF"/>
          <w:bottom w:val="single" w:sz="8" w:space="0" w:color="FBC243" w:themeColor="accent5" w:themeTint="BF"/>
          <w:right w:val="single" w:sz="8" w:space="0" w:color="FBC243" w:themeColor="accent5" w:themeTint="BF"/>
          <w:insideH w:val="nil"/>
          <w:insideV w:val="nil"/>
        </w:tcBorders>
      </w:tcPr>
    </w:tblStylePr>
    <w:tblStylePr w:type="firstCol">
      <w:rPr>
        <w:b/>
        <w:bCs/>
      </w:rPr>
    </w:tblStylePr>
    <w:tblStylePr w:type="lastCol">
      <w:rPr>
        <w:b/>
        <w:bCs/>
      </w:rPr>
    </w:tblStylePr>
    <w:tblStylePr w:type="band1Vert">
      <w:tblPr/>
      <w:tcPr>
        <w:shd w:val="clear" w:color="auto" w:fill="FDEBC1" w:themeFill="accent5" w:themeFillTint="3F"/>
      </w:tcPr>
    </w:tblStylePr>
    <w:tblStylePr w:type="band1Horz">
      <w:tblPr/>
      <w:tcPr>
        <w:tcBorders>
          <w:insideH w:val="nil"/>
          <w:insideV w:val="nil"/>
        </w:tcBorders>
        <w:shd w:val="clear" w:color="auto" w:fill="FDEBC1" w:themeFill="accent5" w:themeFillTint="3F"/>
      </w:tcPr>
    </w:tblStylePr>
    <w:tblStylePr w:type="band2Horz">
      <w:tblPr/>
      <w:tcPr>
        <w:tcBorders>
          <w:insideH w:val="nil"/>
          <w:insideV w:val="nil"/>
        </w:tcBorders>
      </w:tcPr>
    </w:tblStylePr>
  </w:style>
  <w:style w:type="character" w:customStyle="1" w:styleId="TableNBulletChar">
    <w:name w:val="Table N Bullet Char"/>
    <w:basedOn w:val="DefaultParagraphFont"/>
    <w:link w:val="TableNBullet"/>
    <w:uiPriority w:val="2"/>
    <w:rsid w:val="002D4D94"/>
    <w:rPr>
      <w:rFonts w:ascii="Arial" w:eastAsia="Times New Roman" w:hAnsi="Arial" w:cs="Times New Roman"/>
      <w:sz w:val="17"/>
      <w:szCs w:val="19"/>
      <w:lang w:eastAsia="en-AU"/>
    </w:rPr>
  </w:style>
  <w:style w:type="character" w:customStyle="1" w:styleId="BulletChar">
    <w:name w:val="Bullet Char"/>
    <w:basedOn w:val="DefaultParagraphFont"/>
    <w:link w:val="Bullet"/>
    <w:rsid w:val="002D4D94"/>
    <w:rPr>
      <w:rFonts w:ascii="Arial" w:eastAsia="Times New Roman" w:hAnsi="Arial" w:cs="Arial"/>
      <w:lang w:eastAsia="en-US"/>
    </w:rPr>
  </w:style>
  <w:style w:type="paragraph" w:customStyle="1" w:styleId="URL-groupcomau">
    <w:name w:val="URL - group.com.au"/>
    <w:basedOn w:val="Normal"/>
    <w:link w:val="URL-groupcomauChar"/>
    <w:uiPriority w:val="89"/>
    <w:semiHidden/>
    <w:qFormat/>
    <w:rsid w:val="002D4D94"/>
    <w:pPr>
      <w:suppressAutoHyphens w:val="0"/>
      <w:spacing w:before="180" w:line="288" w:lineRule="auto"/>
    </w:pPr>
    <w:rPr>
      <w:rFonts w:ascii="Arial" w:eastAsia="Times New Roman" w:hAnsi="Arial" w:cs="Times New Roman"/>
      <w:color w:val="D7153A" w:themeColor="text2"/>
      <w:spacing w:val="20"/>
      <w:sz w:val="14"/>
      <w:szCs w:val="19"/>
      <w:lang w:eastAsia="en-AU"/>
    </w:rPr>
  </w:style>
  <w:style w:type="character" w:customStyle="1" w:styleId="URL-groupcomauChar">
    <w:name w:val="URL - group.com.au Char"/>
    <w:basedOn w:val="DefaultParagraphFont"/>
    <w:link w:val="URL-groupcomau"/>
    <w:uiPriority w:val="89"/>
    <w:semiHidden/>
    <w:rsid w:val="002D4D94"/>
    <w:rPr>
      <w:rFonts w:ascii="Arial" w:eastAsia="Times New Roman" w:hAnsi="Arial" w:cs="Times New Roman"/>
      <w:color w:val="D7153A" w:themeColor="text2"/>
      <w:spacing w:val="20"/>
      <w:sz w:val="14"/>
      <w:szCs w:val="19"/>
      <w:lang w:eastAsia="en-AU"/>
    </w:rPr>
  </w:style>
  <w:style w:type="paragraph" w:customStyle="1" w:styleId="URL-nous">
    <w:name w:val="URL - nous"/>
    <w:basedOn w:val="Normal"/>
    <w:link w:val="URL-nousChar"/>
    <w:uiPriority w:val="89"/>
    <w:semiHidden/>
    <w:qFormat/>
    <w:rsid w:val="002D4D94"/>
    <w:pPr>
      <w:suppressAutoHyphens w:val="0"/>
      <w:spacing w:before="180" w:line="288" w:lineRule="auto"/>
    </w:pPr>
    <w:rPr>
      <w:rFonts w:ascii="Arial" w:eastAsia="Times New Roman" w:hAnsi="Arial" w:cs="Times New Roman"/>
      <w:color w:val="630019" w:themeColor="accent1"/>
      <w:spacing w:val="20"/>
      <w:sz w:val="14"/>
      <w:szCs w:val="19"/>
      <w:lang w:eastAsia="en-AU"/>
    </w:rPr>
  </w:style>
  <w:style w:type="character" w:customStyle="1" w:styleId="URL-nousChar">
    <w:name w:val="URL - nous Char"/>
    <w:basedOn w:val="DefaultParagraphFont"/>
    <w:link w:val="URL-nous"/>
    <w:uiPriority w:val="89"/>
    <w:semiHidden/>
    <w:rsid w:val="002D4D94"/>
    <w:rPr>
      <w:rFonts w:ascii="Arial" w:eastAsia="Times New Roman" w:hAnsi="Arial" w:cs="Times New Roman"/>
      <w:color w:val="630019" w:themeColor="accent1"/>
      <w:spacing w:val="20"/>
      <w:sz w:val="14"/>
      <w:szCs w:val="19"/>
      <w:lang w:eastAsia="en-AU"/>
    </w:rPr>
  </w:style>
  <w:style w:type="table" w:customStyle="1" w:styleId="NousTableSide">
    <w:name w:val="Nous Table_Side"/>
    <w:basedOn w:val="TableNormal"/>
    <w:uiPriority w:val="99"/>
    <w:rsid w:val="002D4D94"/>
    <w:pPr>
      <w:spacing w:after="0" w:line="240" w:lineRule="auto"/>
    </w:pPr>
    <w:rPr>
      <w:rFonts w:ascii="Segoe UI" w:eastAsiaTheme="minorHAnsi" w:hAnsi="Segoe UI"/>
      <w:sz w:val="17"/>
      <w:lang w:val="en-US" w:eastAsia="en-US"/>
    </w:rPr>
    <w:tblPr>
      <w:tblBorders>
        <w:top w:val="single" w:sz="8" w:space="0" w:color="FAAF05" w:themeColor="accent5"/>
        <w:bottom w:val="single" w:sz="8" w:space="0" w:color="FAAF05" w:themeColor="accent5"/>
        <w:insideH w:val="single" w:sz="8" w:space="0" w:color="FAAF05" w:themeColor="accent5"/>
      </w:tblBorders>
      <w:tblCellMar>
        <w:top w:w="57" w:type="dxa"/>
        <w:left w:w="85" w:type="dxa"/>
        <w:bottom w:w="57" w:type="dxa"/>
        <w:right w:w="85" w:type="dxa"/>
      </w:tblCellMar>
    </w:tblPr>
    <w:tblStylePr w:type="firstCol">
      <w:pPr>
        <w:jc w:val="left"/>
      </w:pPr>
      <w:rPr>
        <w:rFonts w:ascii="Reckless Neue" w:hAnsi="Reckless Neue"/>
        <w:b w:val="0"/>
        <w:color w:val="002664" w:themeColor="background2"/>
        <w:sz w:val="17"/>
      </w:rPr>
      <w:tblPr/>
      <w:tcPr>
        <w:tcBorders>
          <w:top w:val="single" w:sz="12" w:space="0" w:color="FFFFFF" w:themeColor="background1"/>
          <w:left w:val="single" w:sz="18" w:space="0" w:color="FFB8C1" w:themeColor="accent3"/>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l2br w:val="nil"/>
          <w:tr2bl w:val="nil"/>
        </w:tcBorders>
        <w:shd w:val="clear" w:color="auto" w:fill="FAAF05" w:themeFill="accent5"/>
      </w:tcPr>
    </w:tblStylePr>
  </w:style>
  <w:style w:type="paragraph" w:customStyle="1" w:styleId="BioHeading">
    <w:name w:val="Bio Heading"/>
    <w:basedOn w:val="TableNText"/>
    <w:uiPriority w:val="97"/>
    <w:rsid w:val="002D4D94"/>
    <w:pPr>
      <w:spacing w:before="240" w:after="120" w:line="240" w:lineRule="auto"/>
    </w:pPr>
    <w:rPr>
      <w:color w:val="002664" w:themeColor="background2"/>
      <w:sz w:val="19"/>
      <w:szCs w:val="19"/>
    </w:rPr>
  </w:style>
  <w:style w:type="paragraph" w:customStyle="1" w:styleId="Sectionintroduction">
    <w:name w:val="Section introduction"/>
    <w:uiPriority w:val="21"/>
    <w:qFormat/>
    <w:rsid w:val="002D4D94"/>
    <w:pPr>
      <w:spacing w:before="120" w:after="120"/>
    </w:pPr>
    <w:rPr>
      <w:rFonts w:ascii="Segoe UI Semilight" w:eastAsiaTheme="minorHAnsi" w:hAnsi="Segoe UI Semilight"/>
      <w:color w:val="002664" w:themeColor="background2"/>
      <w:sz w:val="21"/>
      <w:szCs w:val="21"/>
      <w:lang w:eastAsia="en-US"/>
    </w:rPr>
  </w:style>
  <w:style w:type="paragraph" w:customStyle="1" w:styleId="Callout">
    <w:name w:val="Call out"/>
    <w:basedOn w:val="Normal"/>
    <w:uiPriority w:val="98"/>
    <w:qFormat/>
    <w:rsid w:val="002D4D94"/>
    <w:pPr>
      <w:pBdr>
        <w:top w:val="single" w:sz="18" w:space="4" w:color="FAAF05" w:themeColor="accent5"/>
      </w:pBdr>
      <w:suppressAutoHyphens w:val="0"/>
      <w:spacing w:before="180" w:after="180" w:line="288" w:lineRule="auto"/>
    </w:pPr>
    <w:rPr>
      <w:rFonts w:ascii="Segoe UI Semilight" w:eastAsia="Times New Roman" w:hAnsi="Segoe UI Semilight" w:cs="Times New Roman"/>
      <w:color w:val="FFB8C1" w:themeColor="accent3"/>
      <w:kern w:val="24"/>
      <w:sz w:val="22"/>
      <w:lang w:eastAsia="en-US"/>
    </w:rPr>
  </w:style>
  <w:style w:type="paragraph" w:customStyle="1" w:styleId="Longformcallout">
    <w:name w:val="Long form callout"/>
    <w:basedOn w:val="Normal"/>
    <w:uiPriority w:val="20"/>
    <w:qFormat/>
    <w:rsid w:val="002D4D94"/>
    <w:pPr>
      <w:suppressAutoHyphens w:val="0"/>
      <w:spacing w:before="60" w:after="60"/>
    </w:pPr>
    <w:rPr>
      <w:rFonts w:ascii="Arial" w:eastAsia="Times New Roman" w:hAnsi="Arial" w:cs="Times New Roman"/>
      <w:color w:val="002664" w:themeColor="background2"/>
      <w:sz w:val="22"/>
      <w:szCs w:val="19"/>
      <w:lang w:eastAsia="en-AU"/>
    </w:rPr>
  </w:style>
  <w:style w:type="paragraph" w:customStyle="1" w:styleId="longformcalloutbullet">
    <w:name w:val="long form call out bullet"/>
    <w:basedOn w:val="Longformcallout"/>
    <w:uiPriority w:val="20"/>
    <w:qFormat/>
    <w:rsid w:val="002D4D94"/>
    <w:pPr>
      <w:numPr>
        <w:numId w:val="18"/>
      </w:numPr>
    </w:pPr>
  </w:style>
  <w:style w:type="paragraph" w:customStyle="1" w:styleId="longformcalloutnumber">
    <w:name w:val="long form callout number"/>
    <w:basedOn w:val="longformcalloutbullet"/>
    <w:uiPriority w:val="20"/>
    <w:qFormat/>
    <w:rsid w:val="002D4D94"/>
    <w:pPr>
      <w:numPr>
        <w:numId w:val="19"/>
      </w:numPr>
    </w:pPr>
  </w:style>
  <w:style w:type="paragraph" w:customStyle="1" w:styleId="NousFooter">
    <w:name w:val="Nous Footer"/>
    <w:basedOn w:val="Normal"/>
    <w:uiPriority w:val="96"/>
    <w:qFormat/>
    <w:rsid w:val="002D4D94"/>
    <w:pPr>
      <w:suppressAutoHyphens w:val="0"/>
      <w:spacing w:before="180" w:line="288" w:lineRule="auto"/>
    </w:pPr>
    <w:rPr>
      <w:rFonts w:ascii="Arial" w:eastAsia="Times New Roman" w:hAnsi="Arial" w:cs="Times New Roman"/>
      <w:color w:val="808080" w:themeColor="background1" w:themeShade="80"/>
      <w:sz w:val="15"/>
      <w:szCs w:val="15"/>
      <w:lang w:eastAsia="en-AU"/>
    </w:rPr>
  </w:style>
  <w:style w:type="paragraph" w:customStyle="1" w:styleId="ContentsHeading">
    <w:name w:val="Contents Heading"/>
    <w:basedOn w:val="Normal"/>
    <w:uiPriority w:val="19"/>
    <w:rsid w:val="002D4D94"/>
    <w:pPr>
      <w:suppressAutoHyphens w:val="0"/>
      <w:spacing w:before="360" w:after="600" w:line="560" w:lineRule="exact"/>
    </w:pPr>
    <w:rPr>
      <w:rFonts w:ascii="Arial" w:eastAsia="Times New Roman" w:hAnsi="Arial" w:cs="Segoe UI"/>
      <w:b/>
      <w:color w:val="00264D"/>
      <w:sz w:val="36"/>
      <w:szCs w:val="36"/>
      <w:lang w:eastAsia="en-AU"/>
    </w:rPr>
  </w:style>
  <w:style w:type="paragraph" w:customStyle="1" w:styleId="introductionlist">
    <w:name w:val="introduction list"/>
    <w:basedOn w:val="Sectionintroduction"/>
    <w:uiPriority w:val="21"/>
    <w:qFormat/>
    <w:rsid w:val="002D4D94"/>
    <w:pPr>
      <w:numPr>
        <w:numId w:val="20"/>
      </w:numPr>
      <w:spacing w:before="60"/>
    </w:pPr>
  </w:style>
  <w:style w:type="paragraph" w:customStyle="1" w:styleId="intoductionbullet">
    <w:name w:val="intoduction bullet"/>
    <w:basedOn w:val="Sectionintroduction"/>
    <w:uiPriority w:val="21"/>
    <w:qFormat/>
    <w:rsid w:val="002D4D94"/>
    <w:pPr>
      <w:numPr>
        <w:numId w:val="21"/>
      </w:numPr>
    </w:pPr>
  </w:style>
  <w:style w:type="paragraph" w:customStyle="1" w:styleId="Covertitle">
    <w:name w:val="Cover title"/>
    <w:basedOn w:val="Normal"/>
    <w:link w:val="CovertitleChar"/>
    <w:uiPriority w:val="99"/>
    <w:semiHidden/>
    <w:rsid w:val="002D4D94"/>
    <w:pPr>
      <w:spacing w:before="180" w:line="720" w:lineRule="exact"/>
    </w:pPr>
    <w:rPr>
      <w:rFonts w:ascii="Arial" w:eastAsia="Times New Roman" w:hAnsi="Arial" w:cs="Times New Roman"/>
      <w:color w:val="D7153A" w:themeColor="text2"/>
      <w:sz w:val="84"/>
      <w:szCs w:val="19"/>
      <w:lang w:eastAsia="en-AU"/>
    </w:rPr>
  </w:style>
  <w:style w:type="character" w:customStyle="1" w:styleId="CovertitleChar">
    <w:name w:val="Cover title Char"/>
    <w:basedOn w:val="DefaultParagraphFont"/>
    <w:link w:val="Covertitle"/>
    <w:uiPriority w:val="99"/>
    <w:semiHidden/>
    <w:rsid w:val="002D4D94"/>
    <w:rPr>
      <w:rFonts w:ascii="Arial" w:eastAsia="Times New Roman" w:hAnsi="Arial" w:cs="Times New Roman"/>
      <w:color w:val="D7153A" w:themeColor="text2"/>
      <w:sz w:val="84"/>
      <w:szCs w:val="19"/>
      <w:lang w:eastAsia="en-AU"/>
    </w:rPr>
  </w:style>
  <w:style w:type="paragraph" w:customStyle="1" w:styleId="CoverPage-Client">
    <w:name w:val="Cover Page - Client"/>
    <w:basedOn w:val="Normal"/>
    <w:link w:val="CoverPage-ClientChar"/>
    <w:uiPriority w:val="99"/>
    <w:semiHidden/>
    <w:rsid w:val="002D4D94"/>
    <w:pPr>
      <w:spacing w:before="480" w:line="380" w:lineRule="exact"/>
    </w:pPr>
    <w:rPr>
      <w:rFonts w:ascii="Arial" w:eastAsia="Times New Roman" w:hAnsi="Arial" w:cs="Times New Roman"/>
      <w:color w:val="D7153A" w:themeColor="text2"/>
      <w:sz w:val="36"/>
      <w:szCs w:val="19"/>
      <w:lang w:eastAsia="en-AU"/>
    </w:rPr>
  </w:style>
  <w:style w:type="character" w:customStyle="1" w:styleId="CoverPage-ClientChar">
    <w:name w:val="Cover Page - Client Char"/>
    <w:basedOn w:val="DefaultParagraphFont"/>
    <w:link w:val="CoverPage-Client"/>
    <w:uiPriority w:val="99"/>
    <w:semiHidden/>
    <w:rsid w:val="002D4D94"/>
    <w:rPr>
      <w:rFonts w:ascii="Arial" w:eastAsia="Times New Roman" w:hAnsi="Arial" w:cs="Times New Roman"/>
      <w:color w:val="D7153A" w:themeColor="text2"/>
      <w:sz w:val="36"/>
      <w:szCs w:val="19"/>
      <w:lang w:eastAsia="en-AU"/>
    </w:rPr>
  </w:style>
  <w:style w:type="paragraph" w:customStyle="1" w:styleId="CoverPage-Date">
    <w:name w:val="Cover Page - Date"/>
    <w:basedOn w:val="Normal"/>
    <w:link w:val="CoverPage-DateChar"/>
    <w:uiPriority w:val="99"/>
    <w:semiHidden/>
    <w:rsid w:val="002D4D94"/>
    <w:pPr>
      <w:spacing w:before="320" w:line="280" w:lineRule="exact"/>
    </w:pPr>
    <w:rPr>
      <w:rFonts w:ascii="Arial" w:eastAsia="Times New Roman" w:hAnsi="Arial" w:cs="Times New Roman"/>
      <w:color w:val="002664" w:themeColor="background2"/>
      <w:sz w:val="24"/>
      <w:szCs w:val="19"/>
      <w:lang w:eastAsia="en-AU"/>
    </w:rPr>
  </w:style>
  <w:style w:type="character" w:customStyle="1" w:styleId="CoverPage-DateChar">
    <w:name w:val="Cover Page - Date Char"/>
    <w:basedOn w:val="DefaultParagraphFont"/>
    <w:link w:val="CoverPage-Date"/>
    <w:uiPriority w:val="99"/>
    <w:semiHidden/>
    <w:rsid w:val="002D4D94"/>
    <w:rPr>
      <w:rFonts w:ascii="Arial" w:eastAsia="Times New Roman" w:hAnsi="Arial" w:cs="Times New Roman"/>
      <w:color w:val="002664" w:themeColor="background2"/>
      <w:sz w:val="24"/>
      <w:szCs w:val="19"/>
      <w:lang w:eastAsia="en-AU"/>
    </w:rPr>
  </w:style>
  <w:style w:type="table" w:customStyle="1" w:styleId="Sectionintroductiontable">
    <w:name w:val="Section introduction table"/>
    <w:basedOn w:val="TableNormal"/>
    <w:uiPriority w:val="99"/>
    <w:rsid w:val="002D4D94"/>
    <w:pPr>
      <w:spacing w:after="0" w:line="240" w:lineRule="auto"/>
    </w:pPr>
    <w:rPr>
      <w:rFonts w:eastAsiaTheme="minorHAnsi"/>
      <w:lang w:val="en-US" w:eastAsia="en-US"/>
    </w:rPr>
    <w:tblPr>
      <w:tblCellMar>
        <w:top w:w="113" w:type="dxa"/>
        <w:left w:w="0" w:type="dxa"/>
        <w:bottom w:w="113" w:type="dxa"/>
        <w:right w:w="0" w:type="dxa"/>
      </w:tblCellMar>
    </w:tblPr>
    <w:tblStylePr w:type="firstRow">
      <w:pPr>
        <w:wordWrap/>
        <w:spacing w:beforeLines="0" w:before="0" w:beforeAutospacing="0" w:afterLines="0" w:after="0" w:afterAutospacing="0"/>
      </w:pPr>
      <w:rPr>
        <w:rFonts w:ascii="Reckless Neue" w:hAnsi="Reckless Neue"/>
        <w:color w:val="002664" w:themeColor="background2"/>
        <w:sz w:val="21"/>
      </w:rPr>
      <w:tblPr/>
      <w:tcPr>
        <w:tcBorders>
          <w:top w:val="single" w:sz="8" w:space="0" w:color="002664" w:themeColor="background2"/>
          <w:left w:val="nil"/>
          <w:bottom w:val="single" w:sz="8" w:space="0" w:color="002664" w:themeColor="background2"/>
          <w:right w:val="nil"/>
        </w:tcBorders>
      </w:tcPr>
    </w:tblStylePr>
  </w:style>
  <w:style w:type="numbering" w:customStyle="1" w:styleId="Listnumberedmultilevel">
    <w:name w:val="List (numbered)_multilevel"/>
    <w:uiPriority w:val="99"/>
    <w:rsid w:val="002D4D94"/>
    <w:pPr>
      <w:numPr>
        <w:numId w:val="25"/>
      </w:numPr>
    </w:pPr>
  </w:style>
  <w:style w:type="numbering" w:customStyle="1" w:styleId="TableexpListnumberedmultilevel">
    <w:name w:val="Table exp List (numbered) multilevel"/>
    <w:uiPriority w:val="99"/>
    <w:rsid w:val="002D4D94"/>
    <w:pPr>
      <w:numPr>
        <w:numId w:val="21"/>
      </w:numPr>
    </w:pPr>
  </w:style>
  <w:style w:type="numbering" w:customStyle="1" w:styleId="TableNListnumberedmultilevel">
    <w:name w:val="Table N List (numbered) multilevel"/>
    <w:uiPriority w:val="99"/>
    <w:rsid w:val="002D4D94"/>
    <w:pPr>
      <w:numPr>
        <w:numId w:val="23"/>
      </w:numPr>
    </w:pPr>
  </w:style>
  <w:style w:type="table" w:customStyle="1" w:styleId="NousLongformcallout">
    <w:name w:val="Nous_Long form call out"/>
    <w:basedOn w:val="TableNormal"/>
    <w:uiPriority w:val="99"/>
    <w:rsid w:val="002D4D94"/>
    <w:pPr>
      <w:spacing w:after="0" w:line="240" w:lineRule="auto"/>
    </w:pPr>
    <w:rPr>
      <w:rFonts w:eastAsiaTheme="minorHAnsi"/>
      <w:color w:val="002664" w:themeColor="background2"/>
      <w:lang w:val="en-US" w:eastAsia="en-US"/>
    </w:rPr>
    <w:tblPr>
      <w:tblBorders>
        <w:left w:val="single" w:sz="18" w:space="0" w:color="FFB8C1" w:themeColor="accent3"/>
      </w:tblBorders>
      <w:tblCellMar>
        <w:top w:w="113" w:type="dxa"/>
        <w:bottom w:w="113" w:type="dxa"/>
      </w:tblCellMar>
    </w:tblPr>
    <w:tcPr>
      <w:shd w:val="clear" w:color="auto" w:fill="FAAF05" w:themeFill="accent5"/>
    </w:tcPr>
  </w:style>
  <w:style w:type="paragraph" w:customStyle="1" w:styleId="CaseStudytitle">
    <w:name w:val="Case Study title"/>
    <w:basedOn w:val="Normal"/>
    <w:qFormat/>
    <w:rsid w:val="002D4D94"/>
    <w:pPr>
      <w:suppressAutoHyphens w:val="0"/>
      <w:spacing w:before="180" w:after="180"/>
    </w:pPr>
    <w:rPr>
      <w:rFonts w:asciiTheme="majorHAnsi" w:eastAsia="Times New Roman" w:hAnsiTheme="majorHAnsi" w:cs="Times New Roman"/>
      <w:caps/>
      <w:color w:val="D7153A" w:themeColor="accent2"/>
      <w:sz w:val="24"/>
      <w:lang w:eastAsia="en-US"/>
    </w:rPr>
  </w:style>
  <w:style w:type="character" w:customStyle="1" w:styleId="TableNTextChar">
    <w:name w:val="Table N Text Char"/>
    <w:basedOn w:val="DefaultParagraphFont"/>
    <w:link w:val="TableNText"/>
    <w:uiPriority w:val="2"/>
    <w:rsid w:val="002D4D94"/>
    <w:rPr>
      <w:rFonts w:eastAsia="Times New Roman" w:cs="Times New Roman"/>
      <w:sz w:val="17"/>
      <w:szCs w:val="20"/>
      <w:lang w:eastAsia="en-US"/>
    </w:rPr>
  </w:style>
  <w:style w:type="paragraph" w:customStyle="1" w:styleId="BIOsubheadingnew">
    <w:name w:val="BIO sub heading_new"/>
    <w:basedOn w:val="Normal"/>
    <w:qFormat/>
    <w:rsid w:val="002D4D94"/>
    <w:pPr>
      <w:suppressAutoHyphens w:val="0"/>
      <w:spacing w:before="180" w:after="60" w:line="257" w:lineRule="auto"/>
      <w:jc w:val="right"/>
    </w:pPr>
    <w:rPr>
      <w:rFonts w:asciiTheme="majorHAnsi" w:eastAsia="Times New Roman" w:hAnsiTheme="majorHAnsi" w:cstheme="majorHAnsi"/>
      <w:noProof/>
      <w:color w:val="002664" w:themeColor="background2"/>
      <w:szCs w:val="24"/>
      <w:lang w:eastAsia="en-US"/>
    </w:rPr>
  </w:style>
  <w:style w:type="table" w:customStyle="1" w:styleId="NOUSSideHeader1">
    <w:name w:val="NOUS Side Header1"/>
    <w:basedOn w:val="TableNormal"/>
    <w:next w:val="TableGrid"/>
    <w:uiPriority w:val="39"/>
    <w:rsid w:val="002D4D94"/>
    <w:pPr>
      <w:spacing w:after="0" w:line="240" w:lineRule="auto"/>
    </w:pPr>
    <w:rPr>
      <w:rFonts w:ascii="Segoe UI" w:eastAsiaTheme="minorHAnsi" w:hAnsi="Segoe UI"/>
      <w:sz w:val="17"/>
      <w:lang w:val="en-US" w:eastAsia="en-US"/>
    </w:rPr>
    <w:tblPr>
      <w:tblStyleRowBandSize w:val="1"/>
      <w:tblBorders>
        <w:top w:val="single" w:sz="8" w:space="0" w:color="FAAF05" w:themeColor="accent5"/>
        <w:bottom w:val="single" w:sz="8" w:space="0" w:color="FAAF05" w:themeColor="accent5"/>
        <w:insideH w:val="single" w:sz="8" w:space="0" w:color="FAAF05" w:themeColor="accent5"/>
      </w:tblBorders>
      <w:tblCellMar>
        <w:top w:w="57" w:type="dxa"/>
        <w:left w:w="85" w:type="dxa"/>
        <w:bottom w:w="57" w:type="dxa"/>
        <w:right w:w="85" w:type="dxa"/>
      </w:tblCellMar>
    </w:tblPr>
    <w:tcPr>
      <w:vAlign w:val="center"/>
    </w:tcPr>
    <w:tblStylePr w:type="firstRow">
      <w:pPr>
        <w:jc w:val="left"/>
      </w:pPr>
      <w:rPr>
        <w:rFonts w:ascii="Reckless Neue" w:hAnsi="Reckless Neue"/>
        <w:b w:val="0"/>
        <w:color w:val="002664" w:themeColor="background2"/>
        <w:sz w:val="18"/>
      </w:rPr>
      <w:tblPr/>
      <w:trPr>
        <w:cantSplit/>
        <w:tblHeader/>
      </w:trPr>
      <w:tcPr>
        <w:tcBorders>
          <w:top w:val="single" w:sz="24" w:space="0" w:color="FFB8C1" w:themeColor="accent3"/>
          <w:left w:val="nil"/>
          <w:bottom w:val="nil"/>
          <w:right w:val="nil"/>
          <w:insideH w:val="nil"/>
          <w:insideV w:val="single" w:sz="8" w:space="0" w:color="FFFFFF" w:themeColor="background1"/>
          <w:tl2br w:val="nil"/>
          <w:tr2bl w:val="nil"/>
        </w:tcBorders>
        <w:shd w:val="clear" w:color="auto" w:fill="FAAF05" w:themeFill="accent5"/>
      </w:tcPr>
    </w:tblStylePr>
    <w:tblStylePr w:type="band1Horz">
      <w:rPr>
        <w:rFonts w:ascii="Reckless Neue" w:hAnsi="Reckless Neue"/>
        <w:sz w:val="17"/>
      </w:rPr>
    </w:tblStylePr>
    <w:tblStylePr w:type="band2Horz">
      <w:rPr>
        <w:rFonts w:ascii="Reckless Neue" w:hAnsi="Reckless Neue"/>
        <w:sz w:val="17"/>
      </w:rPr>
    </w:tblStylePr>
  </w:style>
  <w:style w:type="paragraph" w:customStyle="1" w:styleId="TableNbiophoto">
    <w:name w:val="Table N bio photo"/>
    <w:basedOn w:val="TableNText"/>
    <w:qFormat/>
    <w:rsid w:val="002D4D94"/>
    <w:pPr>
      <w:spacing w:after="0" w:line="257" w:lineRule="auto"/>
    </w:pPr>
  </w:style>
  <w:style w:type="paragraph" w:customStyle="1" w:styleId="BodyText1">
    <w:name w:val="Body Text1"/>
    <w:basedOn w:val="Normal"/>
    <w:qFormat/>
    <w:rsid w:val="002D4D94"/>
    <w:pPr>
      <w:suppressAutoHyphens w:val="0"/>
      <w:spacing w:before="80" w:line="260" w:lineRule="atLeast"/>
    </w:pPr>
    <w:rPr>
      <w:rFonts w:asciiTheme="minorHAnsi" w:eastAsiaTheme="minorHAnsi" w:hAnsiTheme="minorHAnsi" w:cstheme="minorHAnsi"/>
      <w:color w:val="auto"/>
      <w:szCs w:val="22"/>
      <w:lang w:eastAsia="en-US"/>
    </w:rPr>
  </w:style>
  <w:style w:type="table" w:styleId="ListTable5Dark-Accent1">
    <w:name w:val="List Table 5 Dark Accent 1"/>
    <w:basedOn w:val="TableNormal"/>
    <w:uiPriority w:val="50"/>
    <w:rsid w:val="002D4D94"/>
    <w:pPr>
      <w:spacing w:after="0" w:line="240" w:lineRule="auto"/>
    </w:pPr>
    <w:rPr>
      <w:rFonts w:ascii="Arial" w:eastAsia="Arial" w:hAnsi="Arial" w:cs="Times New Roman"/>
      <w:color w:val="FFFFFF" w:themeColor="background1"/>
      <w:sz w:val="24"/>
      <w:szCs w:val="24"/>
      <w:lang w:eastAsia="en-US"/>
    </w:rPr>
    <w:tblPr>
      <w:tblStyleRowBandSize w:val="1"/>
      <w:tblStyleColBandSize w:val="1"/>
      <w:tblBorders>
        <w:top w:val="single" w:sz="24" w:space="0" w:color="630019" w:themeColor="accent1"/>
        <w:left w:val="single" w:sz="24" w:space="0" w:color="630019" w:themeColor="accent1"/>
        <w:bottom w:val="single" w:sz="24" w:space="0" w:color="630019" w:themeColor="accent1"/>
        <w:right w:val="single" w:sz="24" w:space="0" w:color="630019" w:themeColor="accent1"/>
      </w:tblBorders>
    </w:tblPr>
    <w:tcPr>
      <w:shd w:val="clear" w:color="auto" w:fill="630019"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Style2a">
    <w:name w:val="Style2a"/>
    <w:basedOn w:val="TableNormal"/>
    <w:uiPriority w:val="99"/>
    <w:rsid w:val="002D4D94"/>
    <w:pPr>
      <w:spacing w:after="0" w:line="240" w:lineRule="auto"/>
    </w:pPr>
    <w:rPr>
      <w:rFonts w:ascii="Arial" w:eastAsia="Arial" w:hAnsi="Arial" w:cs="Times New Roman"/>
      <w:sz w:val="24"/>
      <w:szCs w:val="24"/>
      <w:lang w:eastAsia="en-US"/>
    </w:rPr>
    <w:tblPr/>
  </w:style>
  <w:style w:type="paragraph" w:customStyle="1" w:styleId="tableheading2">
    <w:name w:val="table heading 2"/>
    <w:basedOn w:val="Tableheading0"/>
    <w:link w:val="tableheading2Char"/>
    <w:qFormat/>
    <w:rsid w:val="002D4D94"/>
    <w:rPr>
      <w:color w:val="FFFFFF" w:themeColor="background1"/>
    </w:rPr>
  </w:style>
  <w:style w:type="character" w:customStyle="1" w:styleId="TableheadingChar">
    <w:name w:val="Table heading Char"/>
    <w:basedOn w:val="DefaultParagraphFont"/>
    <w:link w:val="Tableheading0"/>
    <w:rsid w:val="002D4D94"/>
    <w:rPr>
      <w:rFonts w:ascii="Arial" w:eastAsia="Times New Roman" w:hAnsi="Arial" w:cs="Arial"/>
      <w:b/>
      <w:bCs/>
      <w:color w:val="FFFFFF"/>
      <w:sz w:val="20"/>
      <w:szCs w:val="20"/>
      <w:lang w:eastAsia="en-US"/>
    </w:rPr>
  </w:style>
  <w:style w:type="character" w:customStyle="1" w:styleId="tableheading2Char">
    <w:name w:val="table heading 2 Char"/>
    <w:basedOn w:val="TableheadingChar"/>
    <w:link w:val="tableheading2"/>
    <w:rsid w:val="002D4D94"/>
    <w:rPr>
      <w:rFonts w:ascii="Arial" w:eastAsia="Times New Roman" w:hAnsi="Arial" w:cs="Arial"/>
      <w:b/>
      <w:bCs/>
      <w:color w:val="FFFFFF" w:themeColor="background1"/>
      <w:sz w:val="20"/>
      <w:szCs w:val="20"/>
      <w:lang w:eastAsia="en-US"/>
    </w:rPr>
  </w:style>
  <w:style w:type="character" w:customStyle="1" w:styleId="cf01">
    <w:name w:val="cf01"/>
    <w:basedOn w:val="DefaultParagraphFont"/>
    <w:rsid w:val="002D4D94"/>
    <w:rPr>
      <w:rFonts w:ascii="Segoe UI" w:hAnsi="Segoe UI" w:cs="Segoe UI" w:hint="default"/>
      <w:sz w:val="18"/>
      <w:szCs w:val="18"/>
    </w:rPr>
  </w:style>
  <w:style w:type="paragraph" w:customStyle="1" w:styleId="Summary">
    <w:name w:val="Summary"/>
    <w:rsid w:val="002D4D94"/>
    <w:pPr>
      <w:spacing w:after="200" w:line="240" w:lineRule="auto"/>
    </w:pPr>
    <w:rPr>
      <w:rFonts w:ascii="Arial" w:eastAsia="Arial" w:hAnsi="Arial" w:cs="Arial"/>
      <w:sz w:val="24"/>
      <w:szCs w:val="24"/>
      <w:lang w:eastAsia="en-AU"/>
    </w:rPr>
  </w:style>
  <w:style w:type="table" w:styleId="ListTable4">
    <w:name w:val="List Table 4"/>
    <w:basedOn w:val="TableNormal"/>
    <w:uiPriority w:val="49"/>
    <w:rsid w:val="002D4D94"/>
    <w:pPr>
      <w:spacing w:after="0" w:line="240" w:lineRule="auto"/>
    </w:pPr>
    <w:rPr>
      <w:rFonts w:ascii="Arial" w:eastAsia="Arial" w:hAnsi="Arial" w:cs="Times New Roman"/>
      <w:sz w:val="24"/>
      <w:szCs w:val="24"/>
      <w:lang w:eastAsia="en-US"/>
    </w:rPr>
    <w:tblPr>
      <w:tblStyleRowBandSize w:val="1"/>
      <w:tblStyleColBandSize w:val="1"/>
      <w:tblBorders>
        <w:top w:val="single" w:sz="4" w:space="0" w:color="6E7E8B" w:themeColor="text1" w:themeTint="99"/>
        <w:left w:val="single" w:sz="4" w:space="0" w:color="6E7E8B" w:themeColor="text1" w:themeTint="99"/>
        <w:bottom w:val="single" w:sz="4" w:space="0" w:color="6E7E8B" w:themeColor="text1" w:themeTint="99"/>
        <w:right w:val="single" w:sz="4" w:space="0" w:color="6E7E8B" w:themeColor="text1" w:themeTint="99"/>
        <w:insideH w:val="single" w:sz="4" w:space="0" w:color="6E7E8B" w:themeColor="text1" w:themeTint="99"/>
      </w:tblBorders>
    </w:tblPr>
    <w:tblStylePr w:type="firstRow">
      <w:rPr>
        <w:b/>
        <w:bCs/>
        <w:color w:val="FFFFFF" w:themeColor="background1"/>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nil"/>
        </w:tcBorders>
        <w:shd w:val="clear" w:color="auto" w:fill="22272B" w:themeFill="text1"/>
      </w:tcPr>
    </w:tblStylePr>
    <w:tblStylePr w:type="lastRow">
      <w:rPr>
        <w:b/>
        <w:bCs/>
      </w:rPr>
      <w:tblPr/>
      <w:tcPr>
        <w:tcBorders>
          <w:top w:val="double" w:sz="4" w:space="0" w:color="6E7E8B" w:themeColor="text1" w:themeTint="99"/>
        </w:tcBorders>
      </w:tcPr>
    </w:tblStylePr>
    <w:tblStylePr w:type="firstCol">
      <w:rPr>
        <w:b/>
        <w:bCs/>
      </w:rPr>
    </w:tblStylePr>
    <w:tblStylePr w:type="lastCol">
      <w:rPr>
        <w:b/>
        <w:bCs/>
      </w:rPr>
    </w:tblStylePr>
    <w:tblStylePr w:type="band1Vert">
      <w:tblPr/>
      <w:tcPr>
        <w:shd w:val="clear" w:color="auto" w:fill="CED4D8" w:themeFill="text1" w:themeFillTint="33"/>
      </w:tcPr>
    </w:tblStylePr>
    <w:tblStylePr w:type="band1Horz">
      <w:tblPr/>
      <w:tcPr>
        <w:shd w:val="clear" w:color="auto" w:fill="CED4D8" w:themeFill="text1" w:themeFillTint="33"/>
      </w:tcPr>
    </w:tblStylePr>
  </w:style>
  <w:style w:type="table" w:styleId="ListTable3">
    <w:name w:val="List Table 3"/>
    <w:basedOn w:val="TableNormal"/>
    <w:uiPriority w:val="48"/>
    <w:rsid w:val="002D4D94"/>
    <w:pPr>
      <w:spacing w:after="0" w:line="240" w:lineRule="auto"/>
    </w:pPr>
    <w:rPr>
      <w:rFonts w:ascii="Arial" w:eastAsia="Arial" w:hAnsi="Arial" w:cs="Times New Roman"/>
      <w:sz w:val="24"/>
      <w:szCs w:val="24"/>
      <w:lang w:eastAsia="en-US"/>
    </w:r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tblBorders>
    </w:tblPr>
    <w:tblStylePr w:type="firstRow">
      <w:rPr>
        <w:b/>
        <w:bCs/>
        <w:color w:val="FFFFFF" w:themeColor="background1"/>
      </w:rPr>
      <w:tblPr/>
      <w:tcPr>
        <w:shd w:val="clear" w:color="auto" w:fill="22272B" w:themeFill="text1"/>
      </w:tcPr>
    </w:tblStylePr>
    <w:tblStylePr w:type="lastRow">
      <w:rPr>
        <w:b/>
        <w:bCs/>
      </w:rPr>
      <w:tblPr/>
      <w:tcPr>
        <w:tcBorders>
          <w:top w:val="double" w:sz="4" w:space="0" w:color="22272B"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2272B" w:themeColor="text1"/>
          <w:right w:val="single" w:sz="4" w:space="0" w:color="22272B" w:themeColor="text1"/>
        </w:tcBorders>
      </w:tcPr>
    </w:tblStylePr>
    <w:tblStylePr w:type="band1Horz">
      <w:tblPr/>
      <w:tcPr>
        <w:tcBorders>
          <w:top w:val="single" w:sz="4" w:space="0" w:color="22272B" w:themeColor="text1"/>
          <w:bottom w:val="single" w:sz="4" w:space="0" w:color="22272B"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2272B" w:themeColor="text1"/>
          <w:left w:val="nil"/>
        </w:tcBorders>
      </w:tcPr>
    </w:tblStylePr>
    <w:tblStylePr w:type="swCell">
      <w:tblPr/>
      <w:tcPr>
        <w:tcBorders>
          <w:top w:val="double" w:sz="4" w:space="0" w:color="22272B" w:themeColor="text1"/>
          <w:right w:val="nil"/>
        </w:tcBorders>
      </w:tcPr>
    </w:tblStylePr>
  </w:style>
  <w:style w:type="table" w:styleId="ListTable2-Accent1">
    <w:name w:val="List Table 2 Accent 1"/>
    <w:basedOn w:val="TableNormal"/>
    <w:uiPriority w:val="47"/>
    <w:rsid w:val="002D4D94"/>
    <w:pPr>
      <w:spacing w:after="0" w:line="240" w:lineRule="auto"/>
    </w:pPr>
    <w:rPr>
      <w:rFonts w:ascii="Arial" w:eastAsia="Arial" w:hAnsi="Arial" w:cs="Times New Roman"/>
      <w:sz w:val="24"/>
      <w:szCs w:val="24"/>
      <w:lang w:eastAsia="en-US"/>
    </w:rPr>
    <w:tblPr>
      <w:tblStyleRowBandSize w:val="1"/>
      <w:tblStyleColBandSize w:val="1"/>
      <w:tblBorders>
        <w:top w:val="single" w:sz="4" w:space="0" w:color="FF0846" w:themeColor="accent1" w:themeTint="99"/>
        <w:bottom w:val="single" w:sz="4" w:space="0" w:color="FF0846" w:themeColor="accent1" w:themeTint="99"/>
        <w:insideH w:val="single" w:sz="4" w:space="0" w:color="FF0846"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ACC1" w:themeFill="accent1" w:themeFillTint="33"/>
      </w:tcPr>
    </w:tblStylePr>
    <w:tblStylePr w:type="band1Horz">
      <w:tblPr/>
      <w:tcPr>
        <w:shd w:val="clear" w:color="auto" w:fill="FFACC1" w:themeFill="accent1" w:themeFillTint="33"/>
      </w:tcPr>
    </w:tblStylePr>
  </w:style>
  <w:style w:type="table" w:styleId="GridTable4-Accent1">
    <w:name w:val="Grid Table 4 Accent 1"/>
    <w:basedOn w:val="TableNormal"/>
    <w:uiPriority w:val="49"/>
    <w:rsid w:val="002D4D94"/>
    <w:pPr>
      <w:spacing w:after="0" w:line="240" w:lineRule="auto"/>
    </w:pPr>
    <w:rPr>
      <w:rFonts w:ascii="Arial" w:eastAsia="Arial" w:hAnsi="Arial" w:cs="Times New Roman"/>
      <w:sz w:val="24"/>
      <w:szCs w:val="24"/>
      <w:lang w:eastAsia="en-US"/>
    </w:rPr>
    <w:tblPr>
      <w:tblStyleRowBandSize w:val="1"/>
      <w:tblStyleColBandSize w:val="1"/>
      <w:tblBorders>
        <w:top w:val="single" w:sz="4" w:space="0" w:color="FF0846" w:themeColor="accent1" w:themeTint="99"/>
        <w:left w:val="single" w:sz="4" w:space="0" w:color="FF0846" w:themeColor="accent1" w:themeTint="99"/>
        <w:bottom w:val="single" w:sz="4" w:space="0" w:color="FF0846" w:themeColor="accent1" w:themeTint="99"/>
        <w:right w:val="single" w:sz="4" w:space="0" w:color="FF0846" w:themeColor="accent1" w:themeTint="99"/>
        <w:insideH w:val="single" w:sz="4" w:space="0" w:color="FF0846" w:themeColor="accent1" w:themeTint="99"/>
        <w:insideV w:val="single" w:sz="4" w:space="0" w:color="FF0846" w:themeColor="accent1" w:themeTint="99"/>
      </w:tblBorders>
    </w:tblPr>
    <w:tblStylePr w:type="firstRow">
      <w:rPr>
        <w:b/>
        <w:bCs/>
        <w:color w:val="FFFFFF" w:themeColor="background1"/>
      </w:rPr>
      <w:tblPr/>
      <w:tcPr>
        <w:tcBorders>
          <w:top w:val="single" w:sz="4" w:space="0" w:color="630019" w:themeColor="accent1"/>
          <w:left w:val="single" w:sz="4" w:space="0" w:color="630019" w:themeColor="accent1"/>
          <w:bottom w:val="single" w:sz="4" w:space="0" w:color="630019" w:themeColor="accent1"/>
          <w:right w:val="single" w:sz="4" w:space="0" w:color="630019" w:themeColor="accent1"/>
          <w:insideH w:val="nil"/>
          <w:insideV w:val="nil"/>
        </w:tcBorders>
        <w:shd w:val="clear" w:color="auto" w:fill="630019" w:themeFill="accent1"/>
      </w:tcPr>
    </w:tblStylePr>
    <w:tblStylePr w:type="lastRow">
      <w:rPr>
        <w:b/>
        <w:bCs/>
      </w:rPr>
      <w:tblPr/>
      <w:tcPr>
        <w:tcBorders>
          <w:top w:val="double" w:sz="4" w:space="0" w:color="630019" w:themeColor="accent1"/>
        </w:tcBorders>
      </w:tcPr>
    </w:tblStylePr>
    <w:tblStylePr w:type="firstCol">
      <w:rPr>
        <w:b/>
        <w:bCs/>
      </w:rPr>
    </w:tblStylePr>
    <w:tblStylePr w:type="lastCol">
      <w:rPr>
        <w:b/>
        <w:bCs/>
      </w:rPr>
    </w:tblStylePr>
    <w:tblStylePr w:type="band1Vert">
      <w:tblPr/>
      <w:tcPr>
        <w:shd w:val="clear" w:color="auto" w:fill="FFACC1" w:themeFill="accent1" w:themeFillTint="33"/>
      </w:tcPr>
    </w:tblStylePr>
    <w:tblStylePr w:type="band1Horz">
      <w:tblPr/>
      <w:tcPr>
        <w:shd w:val="clear" w:color="auto" w:fill="FFACC1" w:themeFill="accent1" w:themeFillTint="33"/>
      </w:tcPr>
    </w:tblStylePr>
  </w:style>
  <w:style w:type="table" w:styleId="GridTable2-Accent1">
    <w:name w:val="Grid Table 2 Accent 1"/>
    <w:basedOn w:val="TableNormal"/>
    <w:uiPriority w:val="47"/>
    <w:rsid w:val="002D4D94"/>
    <w:pPr>
      <w:spacing w:after="0" w:line="240" w:lineRule="auto"/>
    </w:pPr>
    <w:rPr>
      <w:rFonts w:ascii="Arial" w:eastAsia="Arial" w:hAnsi="Arial" w:cs="Times New Roman"/>
      <w:sz w:val="24"/>
      <w:szCs w:val="24"/>
      <w:lang w:eastAsia="en-US"/>
    </w:rPr>
    <w:tblPr>
      <w:tblStyleRowBandSize w:val="1"/>
      <w:tblStyleColBandSize w:val="1"/>
      <w:tblBorders>
        <w:top w:val="single" w:sz="2" w:space="0" w:color="FF0846" w:themeColor="accent1" w:themeTint="99"/>
        <w:bottom w:val="single" w:sz="2" w:space="0" w:color="FF0846" w:themeColor="accent1" w:themeTint="99"/>
        <w:insideH w:val="single" w:sz="2" w:space="0" w:color="FF0846" w:themeColor="accent1" w:themeTint="99"/>
        <w:insideV w:val="single" w:sz="2" w:space="0" w:color="FF0846" w:themeColor="accent1" w:themeTint="99"/>
      </w:tblBorders>
    </w:tblPr>
    <w:tblStylePr w:type="firstRow">
      <w:rPr>
        <w:b/>
        <w:bCs/>
      </w:rPr>
      <w:tblPr/>
      <w:tcPr>
        <w:tcBorders>
          <w:top w:val="nil"/>
          <w:bottom w:val="single" w:sz="12" w:space="0" w:color="FF0846" w:themeColor="accent1" w:themeTint="99"/>
          <w:insideH w:val="nil"/>
          <w:insideV w:val="nil"/>
        </w:tcBorders>
        <w:shd w:val="clear" w:color="auto" w:fill="FFFFFF" w:themeFill="background1"/>
      </w:tcPr>
    </w:tblStylePr>
    <w:tblStylePr w:type="lastRow">
      <w:rPr>
        <w:b/>
        <w:bCs/>
      </w:rPr>
      <w:tblPr/>
      <w:tcPr>
        <w:tcBorders>
          <w:top w:val="double" w:sz="2" w:space="0" w:color="FF0846"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ACC1" w:themeFill="accent1" w:themeFillTint="33"/>
      </w:tcPr>
    </w:tblStylePr>
    <w:tblStylePr w:type="band1Horz">
      <w:tblPr/>
      <w:tcPr>
        <w:shd w:val="clear" w:color="auto" w:fill="FFACC1" w:themeFill="accent1" w:themeFillTint="33"/>
      </w:tcPr>
    </w:tblStylePr>
  </w:style>
  <w:style w:type="table" w:styleId="GridTable4-Accent3">
    <w:name w:val="Grid Table 4 Accent 3"/>
    <w:basedOn w:val="TableNormal"/>
    <w:uiPriority w:val="49"/>
    <w:rsid w:val="002D4D94"/>
    <w:pPr>
      <w:spacing w:after="0" w:line="240" w:lineRule="auto"/>
    </w:pPr>
    <w:rPr>
      <w:rFonts w:ascii="Arial" w:eastAsia="Arial" w:hAnsi="Arial" w:cs="Times New Roman"/>
      <w:sz w:val="24"/>
      <w:szCs w:val="24"/>
      <w:lang w:eastAsia="en-US"/>
    </w:rPr>
    <w:tblPr>
      <w:tblStyleRowBandSize w:val="1"/>
      <w:tblStyleColBandSize w:val="1"/>
      <w:tblBorders>
        <w:top w:val="single" w:sz="4" w:space="0" w:color="FFD4D9" w:themeColor="accent3" w:themeTint="99"/>
        <w:left w:val="single" w:sz="4" w:space="0" w:color="FFD4D9" w:themeColor="accent3" w:themeTint="99"/>
        <w:bottom w:val="single" w:sz="4" w:space="0" w:color="FFD4D9" w:themeColor="accent3" w:themeTint="99"/>
        <w:right w:val="single" w:sz="4" w:space="0" w:color="FFD4D9" w:themeColor="accent3" w:themeTint="99"/>
        <w:insideH w:val="single" w:sz="4" w:space="0" w:color="FFD4D9" w:themeColor="accent3" w:themeTint="99"/>
        <w:insideV w:val="single" w:sz="4" w:space="0" w:color="FFD4D9" w:themeColor="accent3" w:themeTint="99"/>
      </w:tblBorders>
    </w:tblPr>
    <w:tblStylePr w:type="firstRow">
      <w:rPr>
        <w:b/>
        <w:bCs/>
        <w:color w:val="FFFFFF" w:themeColor="background1"/>
      </w:rPr>
      <w:tblPr/>
      <w:tcPr>
        <w:tcBorders>
          <w:top w:val="single" w:sz="4" w:space="0" w:color="FFB8C1" w:themeColor="accent3"/>
          <w:left w:val="single" w:sz="4" w:space="0" w:color="FFB8C1" w:themeColor="accent3"/>
          <w:bottom w:val="single" w:sz="4" w:space="0" w:color="FFB8C1" w:themeColor="accent3"/>
          <w:right w:val="single" w:sz="4" w:space="0" w:color="FFB8C1" w:themeColor="accent3"/>
          <w:insideH w:val="nil"/>
          <w:insideV w:val="nil"/>
        </w:tcBorders>
        <w:shd w:val="clear" w:color="auto" w:fill="FFB8C1" w:themeFill="accent3"/>
      </w:tcPr>
    </w:tblStylePr>
    <w:tblStylePr w:type="lastRow">
      <w:rPr>
        <w:b/>
        <w:bCs/>
      </w:rPr>
      <w:tblPr/>
      <w:tcPr>
        <w:tcBorders>
          <w:top w:val="double" w:sz="4" w:space="0" w:color="FFB8C1" w:themeColor="accent3"/>
        </w:tcBorders>
      </w:tcPr>
    </w:tblStylePr>
    <w:tblStylePr w:type="firstCol">
      <w:rPr>
        <w:b/>
        <w:bCs/>
      </w:rPr>
    </w:tblStylePr>
    <w:tblStylePr w:type="lastCol">
      <w:rPr>
        <w:b/>
        <w:bCs/>
      </w:rPr>
    </w:tblStylePr>
    <w:tblStylePr w:type="band1Vert">
      <w:tblPr/>
      <w:tcPr>
        <w:shd w:val="clear" w:color="auto" w:fill="FFF0F2" w:themeFill="accent3" w:themeFillTint="33"/>
      </w:tcPr>
    </w:tblStylePr>
    <w:tblStylePr w:type="band1Horz">
      <w:tblPr/>
      <w:tcPr>
        <w:shd w:val="clear" w:color="auto" w:fill="FFF0F2" w:themeFill="accent3" w:themeFillTint="33"/>
      </w:tcPr>
    </w:tblStylePr>
  </w:style>
  <w:style w:type="paragraph" w:customStyle="1" w:styleId="BulletsLevel1">
    <w:name w:val="Bullets Level1"/>
    <w:basedOn w:val="Normal"/>
    <w:qFormat/>
    <w:rsid w:val="002D4D94"/>
    <w:pPr>
      <w:numPr>
        <w:numId w:val="26"/>
      </w:numPr>
      <w:suppressAutoHyphens w:val="0"/>
      <w:spacing w:after="100" w:line="240" w:lineRule="exact"/>
    </w:pPr>
    <w:rPr>
      <w:rFonts w:ascii="Arial" w:eastAsiaTheme="minorHAnsi" w:hAnsi="Arial" w:cstheme="minorBidi"/>
      <w:color w:val="22272B" w:themeColor="text1"/>
      <w:lang w:eastAsia="ja-JP"/>
    </w:rPr>
  </w:style>
  <w:style w:type="paragraph" w:customStyle="1" w:styleId="TableBullet1">
    <w:name w:val="Table Bullet 1"/>
    <w:basedOn w:val="Normal"/>
    <w:qFormat/>
    <w:rsid w:val="002D4D94"/>
    <w:pPr>
      <w:numPr>
        <w:numId w:val="28"/>
      </w:numPr>
      <w:suppressAutoHyphens w:val="0"/>
      <w:spacing w:before="60" w:after="60" w:line="240" w:lineRule="exact"/>
    </w:pPr>
    <w:rPr>
      <w:rFonts w:ascii="Arial" w:eastAsiaTheme="minorHAnsi" w:hAnsi="Arial" w:cstheme="minorBidi"/>
      <w:color w:val="22272B" w:themeColor="text1"/>
      <w:sz w:val="18"/>
      <w:szCs w:val="22"/>
      <w:lang w:val="en-US" w:eastAsia="en-US" w:bidi="en-US"/>
    </w:rPr>
  </w:style>
  <w:style w:type="paragraph" w:customStyle="1" w:styleId="TableBullet2">
    <w:name w:val="Table Bullet 2"/>
    <w:basedOn w:val="TableBullet1"/>
    <w:qFormat/>
    <w:rsid w:val="002D4D94"/>
    <w:pPr>
      <w:numPr>
        <w:ilvl w:val="1"/>
      </w:numPr>
    </w:pPr>
  </w:style>
  <w:style w:type="table" w:customStyle="1" w:styleId="PaxonTableStyle1">
    <w:name w:val="Paxon Table Style 1"/>
    <w:basedOn w:val="TableNormal"/>
    <w:uiPriority w:val="99"/>
    <w:rsid w:val="002D4D94"/>
    <w:pPr>
      <w:spacing w:after="0" w:line="240" w:lineRule="auto"/>
    </w:pPr>
    <w:rPr>
      <w:rFonts w:ascii="Arial" w:hAnsi="Arial"/>
      <w:sz w:val="18"/>
      <w:szCs w:val="20"/>
      <w:lang w:eastAsia="ja-JP"/>
    </w:rPr>
    <w:tblPr>
      <w:tblStyleRowBandSize w:val="1"/>
      <w:tblBorders>
        <w:bottom w:val="single" w:sz="4" w:space="0" w:color="BFBFBF" w:themeColor="background1" w:themeShade="BF"/>
        <w:insideH w:val="single" w:sz="4" w:space="0" w:color="BFBFBF" w:themeColor="background1" w:themeShade="BF"/>
      </w:tblBorders>
    </w:tblPr>
    <w:tcPr>
      <w:tcMar>
        <w:top w:w="57" w:type="dxa"/>
        <w:bottom w:w="57" w:type="dxa"/>
      </w:tcMar>
      <w:vAlign w:val="center"/>
    </w:tcPr>
    <w:tblStylePr w:type="firstRow">
      <w:rPr>
        <w:b w:val="0"/>
        <w:color w:val="FFFFFF" w:themeColor="background1"/>
        <w:sz w:val="18"/>
      </w:rPr>
      <w:tblPr/>
      <w:trPr>
        <w:tblHeader/>
      </w:trPr>
      <w:tcPr>
        <w:shd w:val="clear" w:color="auto" w:fill="D7153A" w:themeFill="text2"/>
        <w:tcMar>
          <w:top w:w="100" w:type="dxa"/>
          <w:left w:w="0" w:type="nil"/>
          <w:bottom w:w="100" w:type="dxa"/>
          <w:right w:w="0" w:type="nil"/>
        </w:tcMar>
      </w:tcPr>
    </w:tblStylePr>
    <w:tblStylePr w:type="band1Horz">
      <w:tblPr/>
      <w:tcPr>
        <w:shd w:val="clear" w:color="auto" w:fill="F2F2F2" w:themeFill="background1" w:themeFillShade="F2"/>
      </w:tcPr>
    </w:tblStylePr>
  </w:style>
  <w:style w:type="paragraph" w:customStyle="1" w:styleId="BulletsLevel4">
    <w:name w:val="Bullets Level4"/>
    <w:basedOn w:val="Normal"/>
    <w:qFormat/>
    <w:rsid w:val="002D4D94"/>
    <w:pPr>
      <w:numPr>
        <w:numId w:val="27"/>
      </w:numPr>
      <w:suppressAutoHyphens w:val="0"/>
      <w:spacing w:after="100" w:line="240" w:lineRule="exact"/>
      <w:ind w:left="1588" w:hanging="397"/>
    </w:pPr>
    <w:rPr>
      <w:rFonts w:ascii="Arial" w:eastAsiaTheme="minorHAnsi" w:hAnsi="Arial" w:cstheme="minorBidi"/>
      <w:color w:val="22272B" w:themeColor="text1"/>
      <w:lang w:eastAsia="ja-JP"/>
    </w:rPr>
  </w:style>
  <w:style w:type="character" w:customStyle="1" w:styleId="BodytextAHURIChar">
    <w:name w:val="Body text (AHURI) Char"/>
    <w:basedOn w:val="DefaultParagraphFont"/>
    <w:link w:val="BodytextAHURI"/>
    <w:locked/>
    <w:rsid w:val="002D4D94"/>
    <w:rPr>
      <w:rFonts w:ascii="Calibri" w:hAnsi="Calibri" w:cs="Calibri"/>
    </w:rPr>
  </w:style>
  <w:style w:type="paragraph" w:customStyle="1" w:styleId="BodytextAHURI">
    <w:name w:val="Body text (AHURI)"/>
    <w:basedOn w:val="Normal"/>
    <w:link w:val="BodytextAHURIChar"/>
    <w:qFormat/>
    <w:rsid w:val="002D4D94"/>
    <w:pPr>
      <w:suppressAutoHyphens w:val="0"/>
      <w:spacing w:after="240" w:line="320" w:lineRule="exact"/>
    </w:pPr>
    <w:rPr>
      <w:rFonts w:eastAsiaTheme="minorEastAsia"/>
      <w:color w:val="auto"/>
      <w:sz w:val="22"/>
      <w:szCs w:val="22"/>
    </w:rPr>
  </w:style>
  <w:style w:type="paragraph" w:customStyle="1" w:styleId="ListNumber1">
    <w:name w:val="List Number1"/>
    <w:basedOn w:val="Normal"/>
    <w:uiPriority w:val="2"/>
    <w:qFormat/>
    <w:rsid w:val="002D4D94"/>
    <w:pPr>
      <w:keepNext/>
      <w:numPr>
        <w:numId w:val="29"/>
      </w:numPr>
      <w:suppressAutoHyphens w:val="0"/>
      <w:spacing w:before="20" w:line="260" w:lineRule="atLeast"/>
    </w:pPr>
    <w:rPr>
      <w:rFonts w:ascii="Arial" w:eastAsia="Times New Roman" w:hAnsi="Arial" w:cs="Times New Roman"/>
      <w:color w:val="auto"/>
      <w:sz w:val="22"/>
      <w:lang w:val="en-US" w:eastAsia="en-US"/>
    </w:rPr>
  </w:style>
  <w:style w:type="character" w:customStyle="1" w:styleId="anchor-text">
    <w:name w:val="anchor-text"/>
    <w:basedOn w:val="DefaultParagraphFont"/>
    <w:rsid w:val="00B47D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0578982">
      <w:bodyDiv w:val="1"/>
      <w:marLeft w:val="0"/>
      <w:marRight w:val="0"/>
      <w:marTop w:val="0"/>
      <w:marBottom w:val="0"/>
      <w:divBdr>
        <w:top w:val="none" w:sz="0" w:space="0" w:color="auto"/>
        <w:left w:val="none" w:sz="0" w:space="0" w:color="auto"/>
        <w:bottom w:val="none" w:sz="0" w:space="0" w:color="auto"/>
        <w:right w:val="none" w:sz="0" w:space="0" w:color="auto"/>
      </w:divBdr>
    </w:div>
    <w:div w:id="600144772">
      <w:bodyDiv w:val="1"/>
      <w:marLeft w:val="0"/>
      <w:marRight w:val="0"/>
      <w:marTop w:val="0"/>
      <w:marBottom w:val="0"/>
      <w:divBdr>
        <w:top w:val="none" w:sz="0" w:space="0" w:color="auto"/>
        <w:left w:val="none" w:sz="0" w:space="0" w:color="auto"/>
        <w:bottom w:val="none" w:sz="0" w:space="0" w:color="auto"/>
        <w:right w:val="none" w:sz="0" w:space="0" w:color="auto"/>
      </w:divBdr>
    </w:div>
    <w:div w:id="874120981">
      <w:bodyDiv w:val="1"/>
      <w:marLeft w:val="0"/>
      <w:marRight w:val="0"/>
      <w:marTop w:val="0"/>
      <w:marBottom w:val="0"/>
      <w:divBdr>
        <w:top w:val="none" w:sz="0" w:space="0" w:color="auto"/>
        <w:left w:val="none" w:sz="0" w:space="0" w:color="auto"/>
        <w:bottom w:val="none" w:sz="0" w:space="0" w:color="auto"/>
        <w:right w:val="none" w:sz="0" w:space="0" w:color="auto"/>
      </w:divBdr>
    </w:div>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011569793">
      <w:bodyDiv w:val="1"/>
      <w:marLeft w:val="0"/>
      <w:marRight w:val="0"/>
      <w:marTop w:val="0"/>
      <w:marBottom w:val="0"/>
      <w:divBdr>
        <w:top w:val="none" w:sz="0" w:space="0" w:color="auto"/>
        <w:left w:val="none" w:sz="0" w:space="0" w:color="auto"/>
        <w:bottom w:val="none" w:sz="0" w:space="0" w:color="auto"/>
        <w:right w:val="none" w:sz="0" w:space="0" w:color="auto"/>
      </w:divBdr>
    </w:div>
    <w:div w:id="1351907740">
      <w:bodyDiv w:val="1"/>
      <w:marLeft w:val="0"/>
      <w:marRight w:val="0"/>
      <w:marTop w:val="0"/>
      <w:marBottom w:val="0"/>
      <w:divBdr>
        <w:top w:val="none" w:sz="0" w:space="0" w:color="auto"/>
        <w:left w:val="none" w:sz="0" w:space="0" w:color="auto"/>
        <w:bottom w:val="none" w:sz="0" w:space="0" w:color="auto"/>
        <w:right w:val="none" w:sz="0" w:space="0" w:color="auto"/>
      </w:divBdr>
    </w:div>
    <w:div w:id="1509179267">
      <w:bodyDiv w:val="1"/>
      <w:marLeft w:val="0"/>
      <w:marRight w:val="0"/>
      <w:marTop w:val="0"/>
      <w:marBottom w:val="0"/>
      <w:divBdr>
        <w:top w:val="none" w:sz="0" w:space="0" w:color="auto"/>
        <w:left w:val="none" w:sz="0" w:space="0" w:color="auto"/>
        <w:bottom w:val="none" w:sz="0" w:space="0" w:color="auto"/>
        <w:right w:val="none" w:sz="0" w:space="0" w:color="auto"/>
      </w:divBdr>
    </w:div>
    <w:div w:id="1841580740">
      <w:bodyDiv w:val="1"/>
      <w:marLeft w:val="0"/>
      <w:marRight w:val="0"/>
      <w:marTop w:val="0"/>
      <w:marBottom w:val="0"/>
      <w:divBdr>
        <w:top w:val="none" w:sz="0" w:space="0" w:color="auto"/>
        <w:left w:val="none" w:sz="0" w:space="0" w:color="auto"/>
        <w:bottom w:val="none" w:sz="0" w:space="0" w:color="auto"/>
        <w:right w:val="none" w:sz="0" w:space="0" w:color="auto"/>
      </w:divBdr>
    </w:div>
    <w:div w:id="1978874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ahuri.edu.au/research/final-reports/306" TargetMode="External"/><Relationship Id="rId18" Type="http://schemas.openxmlformats.org/officeDocument/2006/relationships/hyperlink" Target="https://www.ncbi.nlm.nih.gov/pmc/articles/PMC6695950/" TargetMode="External"/><Relationship Id="rId26" Type="http://schemas.openxmlformats.org/officeDocument/2006/relationships/hyperlink" Target="https://www.lighthousefoundation.org.au/what-we-do/lighthouse-model-of-care/" TargetMode="External"/><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www.wcpp.org.uk/wp-content/uploads/2018/10/Preventing-Youth-Homelessness-full-report.pdf" TargetMode="External"/><Relationship Id="rId34" Type="http://schemas.openxmlformats.org/officeDocument/2006/relationships/hyperlink" Target="https://publicdocumentcentre.education.tas.gov.au/library/Shared%20Documents/U16-Practice-Guidelines-SHS.pdf"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pc.gov.au/ongoing/report-on-government-services/2022/housing-and-homelessness/housing" TargetMode="External"/><Relationship Id="rId17" Type="http://schemas.openxmlformats.org/officeDocument/2006/relationships/hyperlink" Target="https://create.org.au/wp-content/uploads/2021/09/CREATEs-Position-on-Access-to-Priority-Housing.pdf" TargetMode="External"/><Relationship Id="rId25" Type="http://schemas.openxmlformats.org/officeDocument/2006/relationships/hyperlink" Target="https://apo.org.au/sites/default/files/resource-files/2023-11/apo-nid325037.pdf" TargetMode="External"/><Relationship Id="rId33" Type="http://schemas.openxmlformats.org/officeDocument/2006/relationships/hyperlink" Target="https://publicdocumentcentre.education.tas.gov.au/library/Shared%20Documents/U16-Policy-Framework.pdf" TargetMode="External"/><Relationship Id="rId38" Type="http://schemas.openxmlformats.org/officeDocument/2006/relationships/hyperlink" Target="https://assets.nationbuilder.com/yfoundations/pages/200/attachments/original/1654146355/Youth-Justice-Research-Report-FINAL-2021-compressed.pdf?1654146355" TargetMode="External"/><Relationship Id="rId2" Type="http://schemas.openxmlformats.org/officeDocument/2006/relationships/numbering" Target="numbering.xml"/><Relationship Id="rId16" Type="http://schemas.openxmlformats.org/officeDocument/2006/relationships/hyperlink" Target="https://chp.org.au/wp-content/uploads/2022/09/CHP-2022-Victorian-Homelessness-Election-Platform-FINAL.pdf" TargetMode="External"/><Relationship Id="rId20" Type="http://schemas.openxmlformats.org/officeDocument/2006/relationships/hyperlink" Target="https://www.homelesshub.ca/sites/default/files/attachments/HFFWYouth-FullReport_0.pdf" TargetMode="External"/><Relationship Id="rId29" Type="http://schemas.openxmlformats.org/officeDocument/2006/relationships/hyperlink" Target="https://awayhomewa.org/wp-content/uploads/2022/10/HPDF-Report-2022.pdf"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bs.gov.au/census/2021-census-data-release-plans/2021-census-product-release-guide" TargetMode="External"/><Relationship Id="rId24" Type="http://schemas.openxmlformats.org/officeDocument/2006/relationships/hyperlink" Target="https://www.sciencedirect.com/topics/social-sciences/juvenile-justice" TargetMode="External"/><Relationship Id="rId32" Type="http://schemas.openxmlformats.org/officeDocument/2006/relationships/hyperlink" Target="https://publicdocumentcentre.education.tas.gov.au/library/Shared%20Documents/U16-Practice-Guidelines-SHS.pdf" TargetMode="External"/><Relationship Id="rId37" Type="http://schemas.openxmlformats.org/officeDocument/2006/relationships/hyperlink" Target="https://crosscut.com/investigations/2023/08/was-5m-youth-homelessness-effort-ramping-it-working" TargetMode="External"/><Relationship Id="rId40"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mackillop.org.au/programs/a-place-to-go" TargetMode="External"/><Relationship Id="rId23" Type="http://schemas.openxmlformats.org/officeDocument/2006/relationships/hyperlink" Target="https://www.gov.ie/pdf/?file=https://assets.gov.ie/239255/99c987df-4439-4bc2-8730-be614eae1e2e.pdf" TargetMode="External"/><Relationship Id="rId28" Type="http://schemas.openxmlformats.org/officeDocument/2006/relationships/hyperlink" Target="https://www.prnewswire.com/news-releases/point-source-youth-scales-direct-cash-transfers-as-prevention-for-youth-homelessness-to-five-us-cities-301924102.html" TargetMode="External"/><Relationship Id="rId36" Type="http://schemas.openxmlformats.org/officeDocument/2006/relationships/hyperlink" Target="https://homelesshub.ca/sites/default/files/download-chapter/AWH%20Community%20Planning%20Toolkit.pdf" TargetMode="External"/><Relationship Id="rId10" Type="http://schemas.openxmlformats.org/officeDocument/2006/relationships/hyperlink" Target="https://www.ahuri.edu.au/research/brief/what-right-level-social-housing-australia" TargetMode="External"/><Relationship Id="rId19" Type="http://schemas.openxmlformats.org/officeDocument/2006/relationships/hyperlink" Target="https://www.ncbi.nlm.nih.gov/pmc/articles/PMC6695950/" TargetMode="External"/><Relationship Id="rId31" Type="http://schemas.openxmlformats.org/officeDocument/2006/relationships/hyperlink" Target="https://www.premier.tas.gov.au/site_resources_2015/additional_releases/under-16-lighthouse-project-with-mission-australia"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un.org/en/universal-declaration-human-rights/index.html" TargetMode="External"/><Relationship Id="rId22" Type="http://schemas.openxmlformats.org/officeDocument/2006/relationships/hyperlink" Target="https://www.homelesshub.ca/sites/default/files/HF4Y-Program-Guide-Jul-15.pdf" TargetMode="External"/><Relationship Id="rId27" Type="http://schemas.openxmlformats.org/officeDocument/2006/relationships/hyperlink" Target="https://www.endyouthhomelessness.ie/assets/files/pdf/limerick_youth_housing_evaluation.pdf" TargetMode="External"/><Relationship Id="rId30" Type="http://schemas.openxmlformats.org/officeDocument/2006/relationships/hyperlink" Target="https://www.saxinstitute.org.au/evidence-check/evidence-on-programs-to-address-youth-homelessness/" TargetMode="External"/><Relationship Id="rId35" Type="http://schemas.openxmlformats.org/officeDocument/2006/relationships/hyperlink" Target="https://www.homelesshub.ca/sites/default/files/attachments/YPRfullreport.pdf" TargetMode="External"/><Relationship Id="rId43" Type="http://schemas.openxmlformats.org/officeDocument/2006/relationships/glossaryDocument" Target="glossary/document.xml"/></Relationships>
</file>

<file path=word/_rels/endnotes.xml.rels><?xml version="1.0" encoding="UTF-8" standalone="yes"?>
<Relationships xmlns="http://schemas.openxmlformats.org/package/2006/relationships"><Relationship Id="rId8" Type="http://schemas.openxmlformats.org/officeDocument/2006/relationships/hyperlink" Target="https://www.aph.gov.au/Parliamentary_Business/Committees/House/Social_Policy_and_Legal_Affairs/HomelessnessinAustralia" TargetMode="External"/><Relationship Id="rId13" Type="http://schemas.openxmlformats.org/officeDocument/2006/relationships/hyperlink" Target="https://cdn.prod.website-files.com/646dd81ef095aa13072c44e0/66eae69bc7a7224736d2b811_CHI-Temporary-Accommodation-Value-for-Money-England_FINAL.pdf" TargetMode="External"/><Relationship Id="rId18" Type="http://schemas.openxmlformats.org/officeDocument/2006/relationships/hyperlink" Target="https://www.pc.gov.au/inquiries/completed/housing-homelessness/report" TargetMode="External"/><Relationship Id="rId26" Type="http://schemas.openxmlformats.org/officeDocument/2006/relationships/hyperlink" Target="https://www.aph.gov.au/Parliamentary_Business/Committees/House/Social_Policy_and_Legal_Affairs/HomelessnessinAustralia" TargetMode="External"/><Relationship Id="rId3" Type="http://schemas.openxmlformats.org/officeDocument/2006/relationships/hyperlink" Target="https://www.ahuri.edu.au/analysis/brief/what-difference-between-social-housing-and-affordable-housing-and-why-do-they-matter" TargetMode="External"/><Relationship Id="rId21" Type="http://schemas.openxmlformats.org/officeDocument/2006/relationships/hyperlink" Target="https://www.aph.gov.au/Parliamentary_Business/Committees/House/Social_Policy_and_Legal_Affairs/HomelessnessinAustralia" TargetMode="External"/><Relationship Id="rId34" Type="http://schemas.openxmlformats.org/officeDocument/2006/relationships/hyperlink" Target="https://www.audit.nsw.gov.au/our-work/reports/responses-to-homelessness" TargetMode="External"/><Relationship Id="rId7" Type="http://schemas.openxmlformats.org/officeDocument/2006/relationships/hyperlink" Target="https://www.aph.gov.au/Parliamentary_Business/Committees/House/Social_Policy_and_Legal_Affairs/HomelessnessinAustralia" TargetMode="External"/><Relationship Id="rId12" Type="http://schemas.openxmlformats.org/officeDocument/2006/relationships/hyperlink" Target="https://cdn.prod.website-files.com/646dd81ef095aa13072c44e0/66eae69bc7a7224736d2b811_CHI-Temporary-Accommodation-Value-for-Money-England_FINAL.pdf" TargetMode="External"/><Relationship Id="rId17" Type="http://schemas.openxmlformats.org/officeDocument/2006/relationships/hyperlink" Target="https://www.ohchr.org/en/special-procedures/sr-housing/human-right-adequate-housing" TargetMode="External"/><Relationship Id="rId25" Type="http://schemas.openxmlformats.org/officeDocument/2006/relationships/hyperlink" Target="https://www.pc.gov.au/inquiries/completed/housing-homelessness/report" TargetMode="External"/><Relationship Id="rId33" Type="http://schemas.openxmlformats.org/officeDocument/2006/relationships/hyperlink" Target="https://www.parliament.nsw.gov.au/committees/inquiries/Pages/inquiry-details.aspx?pk=2865" TargetMode="External"/><Relationship Id="rId2" Type="http://schemas.openxmlformats.org/officeDocument/2006/relationships/hyperlink" Target="https://www.ahuri.edu.au/housing/trajectories/Housing-homelessness-and-mental-health-towards-systems-change" TargetMode="External"/><Relationship Id="rId16" Type="http://schemas.openxmlformats.org/officeDocument/2006/relationships/hyperlink" Target="https://www.ahuri.edu.au/research/final-reports/379" TargetMode="External"/><Relationship Id="rId20" Type="http://schemas.openxmlformats.org/officeDocument/2006/relationships/hyperlink" Target="https://www.pc.gov.au/inquiries/completed/housing-homelessness/report" TargetMode="External"/><Relationship Id="rId29" Type="http://schemas.openxmlformats.org/officeDocument/2006/relationships/hyperlink" Target="https://chp.org.au/wp-content/uploads/2023/08/CHP-Person-Centered-Practice-Guide-Accessible-1.pdf" TargetMode="External"/><Relationship Id="rId1" Type="http://schemas.openxmlformats.org/officeDocument/2006/relationships/hyperlink" Target="https://assets.website-files.com/5d7f84f3a3db0809b43d2dec/5e4515966e788a7f6fce9c93_SHARE_report_Feb13.pdf" TargetMode="External"/><Relationship Id="rId6" Type="http://schemas.openxmlformats.org/officeDocument/2006/relationships/hyperlink" Target="https://www.ahuri.edu.au/research/final-reports/379" TargetMode="External"/><Relationship Id="rId11" Type="http://schemas.openxmlformats.org/officeDocument/2006/relationships/hyperlink" Target="https://cdn.prod.website-files.com/646dd81ef095aa13072c44e0/66eae69bc7a7224736d2b811_CHI-Temporary-Accommodation-Value-for-Money-England_FINAL.pdf" TargetMode="External"/><Relationship Id="rId24" Type="http://schemas.openxmlformats.org/officeDocument/2006/relationships/hyperlink" Target="https://www.parliament.nsw.gov.au/committees/inquiries/Pages/inquiry-details.aspx?pk=2865" TargetMode="External"/><Relationship Id="rId32" Type="http://schemas.openxmlformats.org/officeDocument/2006/relationships/hyperlink" Target="https://www.aph.gov.au/Parliamentary_Business/Committees/House/Social_Policy_and_Legal_Affairs/HomelessnessinAustralia" TargetMode="External"/><Relationship Id="rId37" Type="http://schemas.openxmlformats.org/officeDocument/2006/relationships/hyperlink" Target="https://www.aph.gov.au/Parliamentary_Business/Committees/House/Social_Policy_and_Legal_Affairs/HomelessnessinAustralia" TargetMode="External"/><Relationship Id="rId5" Type="http://schemas.openxmlformats.org/officeDocument/2006/relationships/hyperlink" Target="file:///C:\Users\pennycoc\Downloads\pathways-to-homelessness-final-report-december-2021%20(2).pdf" TargetMode="External"/><Relationship Id="rId15" Type="http://schemas.openxmlformats.org/officeDocument/2006/relationships/hyperlink" Target="https://www.ahuri.edu.au/sites/default/files/documents/2022-08/AHURI-Prof-Services-Housing-First-An-evidence-review-of-implementation-effectiveness-and-outcomes.pdf" TargetMode="External"/><Relationship Id="rId23" Type="http://schemas.openxmlformats.org/officeDocument/2006/relationships/hyperlink" Target="https://www.parliament.nsw.gov.au/committees/inquiries/Pages/inquiry-details.aspx?pk=2865" TargetMode="External"/><Relationship Id="rId28" Type="http://schemas.openxmlformats.org/officeDocument/2006/relationships/hyperlink" Target="https://www.health.nsw.gov.au/mentalhealth/psychosocial/principles/Pages/person-centred.aspx" TargetMode="External"/><Relationship Id="rId36" Type="http://schemas.openxmlformats.org/officeDocument/2006/relationships/hyperlink" Target="https://www.audit.nsw.gov.au/our-work/reports/responses-to-homelessness" TargetMode="External"/><Relationship Id="rId10" Type="http://schemas.openxmlformats.org/officeDocument/2006/relationships/hyperlink" Target="https://www.ahuri.edu.au/research/final-reports/361" TargetMode="External"/><Relationship Id="rId19" Type="http://schemas.openxmlformats.org/officeDocument/2006/relationships/hyperlink" Target="https://www.audit.nsw.gov.au/our-work/reports/responses-to-homelessness" TargetMode="External"/><Relationship Id="rId31" Type="http://schemas.openxmlformats.org/officeDocument/2006/relationships/hyperlink" Target="https://chp.org.au/wp-content/uploads/2023/08/CHP-Person-Centered-Practice-Guide-Accessible-1.pdf" TargetMode="External"/><Relationship Id="rId4" Type="http://schemas.openxmlformats.org/officeDocument/2006/relationships/hyperlink" Target="https://ojs.lib.uwo.ca/index.php/ijoh/article/view/13341/11482" TargetMode="External"/><Relationship Id="rId9" Type="http://schemas.openxmlformats.org/officeDocument/2006/relationships/hyperlink" Target="https://www.kuc.org.au/wp-content/uploads/2024/02/A-New-Place-to-Call-Home.pdf" TargetMode="External"/><Relationship Id="rId14" Type="http://schemas.openxmlformats.org/officeDocument/2006/relationships/hyperlink" Target="https://onlinelibrary.wiley.com/doi/10.1002/ajs4.332" TargetMode="External"/><Relationship Id="rId22" Type="http://schemas.openxmlformats.org/officeDocument/2006/relationships/hyperlink" Target="https://www.parliament.nsw.gov.au/committees/inquiries/Pages/inquiry-details.aspx?pk=2865" TargetMode="External"/><Relationship Id="rId27" Type="http://schemas.openxmlformats.org/officeDocument/2006/relationships/hyperlink" Target="https://chp.org.au/wp-content/uploads/2023/08/CHP-Person-Centered-Practice-Guide-Accessible-1.pdf" TargetMode="External"/><Relationship Id="rId30" Type="http://schemas.openxmlformats.org/officeDocument/2006/relationships/hyperlink" Target="https://www.pc.gov.au/inquiries/completed/housing-homelessness/report" TargetMode="External"/><Relationship Id="rId35" Type="http://schemas.openxmlformats.org/officeDocument/2006/relationships/hyperlink" Target="https://www.aph.gov.au/Parliamentary_Business/Committees/House/Social_Policy_and_Legal_Affairs/HomelessnessinAustralia"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erryk4\AppData\Local\Temp\35\wz06d8\Homes%20NSW%20Microsoft%20Word%20Templates\Homes%20NSW_Factshee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E7C5EFF51534A18B57122D7DA06CE3C"/>
        <w:category>
          <w:name w:val="General"/>
          <w:gallery w:val="placeholder"/>
        </w:category>
        <w:types>
          <w:type w:val="bbPlcHdr"/>
        </w:types>
        <w:behaviors>
          <w:behavior w:val="content"/>
        </w:behaviors>
        <w:guid w:val="{DF41A829-FFC1-4B24-90C9-B979D9CBE231}"/>
      </w:docPartPr>
      <w:docPartBody>
        <w:p w:rsidR="00E6697A" w:rsidRDefault="00E6697A">
          <w:pPr>
            <w:pStyle w:val="2E7C5EFF51534A18B57122D7DA06CE3C"/>
          </w:pPr>
          <w:r w:rsidRPr="005C68F6">
            <w:rPr>
              <w:rStyle w:val="PlaceholderText"/>
            </w:rPr>
            <w:t>Click or tap here to enter text.</w:t>
          </w:r>
        </w:p>
      </w:docPartBody>
    </w:docPart>
    <w:docPart>
      <w:docPartPr>
        <w:name w:val="514AA35606734FCB8BC652B5E209FF52"/>
        <w:category>
          <w:name w:val="General"/>
          <w:gallery w:val="placeholder"/>
        </w:category>
        <w:types>
          <w:type w:val="bbPlcHdr"/>
        </w:types>
        <w:behaviors>
          <w:behavior w:val="content"/>
        </w:behaviors>
        <w:guid w:val="{A9B67B60-B2CB-468D-8525-D092BB456828}"/>
      </w:docPartPr>
      <w:docPartBody>
        <w:p w:rsidR="00E6697A" w:rsidRDefault="00E6697A">
          <w:pPr>
            <w:pStyle w:val="514AA35606734FCB8BC652B5E209FF52"/>
          </w:pPr>
          <w:r w:rsidRPr="00194597">
            <w:rPr>
              <w:rStyle w:val="PlaceholderText"/>
            </w:rPr>
            <w:t>[</w:t>
          </w:r>
          <w:r w:rsidRPr="00956C67">
            <w:rPr>
              <w:rStyle w:val="PlaceholderText"/>
            </w:rPr>
            <w:t xml:space="preserve">Click here to enter </w:t>
          </w:r>
          <w:r>
            <w:rPr>
              <w:rStyle w:val="PlaceholderText"/>
            </w:rPr>
            <w:t xml:space="preserve">Document </w:t>
          </w:r>
          <w:r w:rsidRPr="00956C67">
            <w:rPr>
              <w:rStyle w:val="PlaceholderText"/>
            </w:rPr>
            <w:t>Title – 2 lines maximum</w:t>
          </w:r>
          <w:r>
            <w:rPr>
              <w:rStyle w:val="PlaceholderText"/>
            </w:rPr>
            <w:t>.</w:t>
          </w:r>
          <w:r w:rsidRPr="00194597">
            <w:rPr>
              <w:rStyle w:val="PlaceholderText"/>
            </w:rPr>
            <w:t>]</w:t>
          </w:r>
        </w:p>
      </w:docPartBody>
    </w:docPart>
    <w:docPart>
      <w:docPartPr>
        <w:name w:val="26F77956A64348EC87BAD44CCCB508EE"/>
        <w:category>
          <w:name w:val="General"/>
          <w:gallery w:val="placeholder"/>
        </w:category>
        <w:types>
          <w:type w:val="bbPlcHdr"/>
        </w:types>
        <w:behaviors>
          <w:behavior w:val="content"/>
        </w:behaviors>
        <w:guid w:val="{8446901F-1426-45BE-803E-103135ABB7B3}"/>
      </w:docPartPr>
      <w:docPartBody>
        <w:p w:rsidR="00E6697A" w:rsidRDefault="00E6697A">
          <w:pPr>
            <w:pStyle w:val="26F77956A64348EC87BAD44CCCB508EE"/>
          </w:pPr>
          <w:r>
            <w:rPr>
              <w:rStyle w:val="PlaceholderText"/>
            </w:rPr>
            <w:t>[C</w:t>
          </w:r>
          <w:r w:rsidRPr="00D44DD2">
            <w:rPr>
              <w:rStyle w:val="PlaceholderText"/>
            </w:rPr>
            <w:t xml:space="preserve">lick here to enter </w:t>
          </w:r>
          <w:r>
            <w:rPr>
              <w:rStyle w:val="PlaceholderText"/>
            </w:rPr>
            <w:t>Website]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ublic Sans Light">
    <w:altName w:val="Cambria"/>
    <w:panose1 w:val="00000000000000000000"/>
    <w:charset w:val="00"/>
    <w:family w:val="auto"/>
    <w:pitch w:val="variable"/>
    <w:sig w:usb0="A00000FF" w:usb1="4000205B" w:usb2="00000000" w:usb3="00000000" w:csb0="00000193" w:csb1="00000000"/>
  </w:font>
  <w:font w:name="Reckless Neue">
    <w:altName w:val="Calibri"/>
    <w:charset w:val="00"/>
    <w:family w:val="auto"/>
    <w:pitch w:val="variable"/>
    <w:sig w:usb0="00000007" w:usb1="00000000" w:usb2="00000000" w:usb3="00000000" w:csb0="00000093" w:csb1="00000000"/>
  </w:font>
  <w:font w:name="Avenir-Book">
    <w:altName w:val="Arial"/>
    <w:charset w:val="00"/>
    <w:family w:val="swiss"/>
    <w:pitch w:val="variable"/>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MT">
    <w:altName w:val="Arial"/>
    <w:charset w:val="4D"/>
    <w:family w:val="auto"/>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Public Sans">
    <w:panose1 w:val="00000000000000000000"/>
    <w:charset w:val="00"/>
    <w:family w:val="auto"/>
    <w:pitch w:val="variable"/>
    <w:sig w:usb0="A00000FF" w:usb1="4000205B" w:usb2="00000000" w:usb3="00000000" w:csb0="00000193" w:csb1="00000000"/>
  </w:font>
  <w:font w:name="PublicSans-Light">
    <w:altName w:val="Calibri"/>
    <w:panose1 w:val="00000000000000000000"/>
    <w:charset w:val="4D"/>
    <w:family w:val="auto"/>
    <w:notTrueType/>
    <w:pitch w:val="default"/>
    <w:sig w:usb0="00000003" w:usb1="00000000" w:usb2="00000000" w:usb3="00000000" w:csb0="00000001" w:csb1="00000000"/>
  </w:font>
  <w:font w:name="Arial Bold">
    <w:altName w:val="Arial"/>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Yu Gothic">
    <w:panose1 w:val="020B0400000000000000"/>
    <w:charset w:val="80"/>
    <w:family w:val="swiss"/>
    <w:pitch w:val="variable"/>
    <w:sig w:usb0="E00002FF" w:usb1="2AC7FDFF" w:usb2="00000016" w:usb3="00000000" w:csb0="0002009F" w:csb1="00000000"/>
  </w:font>
  <w:font w:name="Segoe UI Semibold">
    <w:panose1 w:val="020B0702040204020203"/>
    <w:charset w:val="00"/>
    <w:family w:val="swiss"/>
    <w:pitch w:val="variable"/>
    <w:sig w:usb0="E4002EFF" w:usb1="C000E47F"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Apud-Roman">
    <w:altName w:val="Yu Gothic"/>
    <w:panose1 w:val="00000000000000000000"/>
    <w:charset w:val="80"/>
    <w:family w:val="roman"/>
    <w:notTrueType/>
    <w:pitch w:val="default"/>
    <w:sig w:usb0="00000001" w:usb1="08070000" w:usb2="00000010" w:usb3="00000000" w:csb0="00020000" w:csb1="00000000"/>
  </w:font>
  <w:font w:name="Apud-BoldItalic">
    <w:altName w:val="Cambria"/>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697A"/>
    <w:rsid w:val="001562ED"/>
    <w:rsid w:val="001F7B2B"/>
    <w:rsid w:val="002A1E0F"/>
    <w:rsid w:val="002F25BA"/>
    <w:rsid w:val="00356D93"/>
    <w:rsid w:val="00374AB4"/>
    <w:rsid w:val="005C2E90"/>
    <w:rsid w:val="00667868"/>
    <w:rsid w:val="007272DD"/>
    <w:rsid w:val="009E08DC"/>
    <w:rsid w:val="00A605BD"/>
    <w:rsid w:val="00AD3A03"/>
    <w:rsid w:val="00B23BA5"/>
    <w:rsid w:val="00BE62D9"/>
    <w:rsid w:val="00E230EE"/>
    <w:rsid w:val="00E36835"/>
    <w:rsid w:val="00E64733"/>
    <w:rsid w:val="00E6697A"/>
    <w:rsid w:val="00FD026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2E7C5EFF51534A18B57122D7DA06CE3C">
    <w:name w:val="2E7C5EFF51534A18B57122D7DA06CE3C"/>
  </w:style>
  <w:style w:type="paragraph" w:customStyle="1" w:styleId="514AA35606734FCB8BC652B5E209FF52">
    <w:name w:val="514AA35606734FCB8BC652B5E209FF52"/>
  </w:style>
  <w:style w:type="paragraph" w:customStyle="1" w:styleId="26F77956A64348EC87BAD44CCCB508EE">
    <w:name w:val="26F77956A64348EC87BAD44CCCB508E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Red">
      <a:dk1>
        <a:srgbClr val="22272B"/>
      </a:dk1>
      <a:lt1>
        <a:srgbClr val="FFFFFF"/>
      </a:lt1>
      <a:dk2>
        <a:srgbClr val="D7153A"/>
      </a:dk2>
      <a:lt2>
        <a:srgbClr val="002664"/>
      </a:lt2>
      <a:accent1>
        <a:srgbClr val="630019"/>
      </a:accent1>
      <a:accent2>
        <a:srgbClr val="D7153A"/>
      </a:accent2>
      <a:accent3>
        <a:srgbClr val="FFB8C1"/>
      </a:accent3>
      <a:accent4>
        <a:srgbClr val="FFE6EA"/>
      </a:accent4>
      <a:accent5>
        <a:srgbClr val="FAAF05"/>
      </a:accent5>
      <a:accent6>
        <a:srgbClr val="FFF4CF"/>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1"/>
        </a:solidFill>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Homes NSW_Factsheet.dotx</Template>
  <TotalTime>12</TotalTime>
  <Pages>27</Pages>
  <Words>11100</Words>
  <Characters>63273</Characters>
  <Application>Microsoft Office Word</Application>
  <DocSecurity>8</DocSecurity>
  <Lines>527</Lines>
  <Paragraphs>148</Paragraphs>
  <ScaleCrop>false</ScaleCrop>
  <HeadingPairs>
    <vt:vector size="2" baseType="variant">
      <vt:variant>
        <vt:lpstr>Title</vt:lpstr>
      </vt:variant>
      <vt:variant>
        <vt:i4>1</vt:i4>
      </vt:variant>
    </vt:vector>
  </HeadingPairs>
  <TitlesOfParts>
    <vt:vector size="1" baseType="lpstr">
      <vt:lpstr>Fact sheet #3: Evidence summary</vt:lpstr>
    </vt:vector>
  </TitlesOfParts>
  <Company/>
  <LinksUpToDate>false</LinksUpToDate>
  <CharactersWithSpaces>74225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Fact sheet #3: Evidence summary</dc:title>
  <dc:subject/>
  <dc:creator>Kate Berry</dc:creator>
  <cp:keywords/>
  <dc:description/>
  <cp:lastModifiedBy>Celia Pennycook</cp:lastModifiedBy>
  <cp:revision>13</cp:revision>
  <cp:lastPrinted>2022-08-28T00:40:00Z</cp:lastPrinted>
  <dcterms:created xsi:type="dcterms:W3CDTF">2024-11-07T05:18:00Z</dcterms:created>
  <dcterms:modified xsi:type="dcterms:W3CDTF">2024-11-12T04:01:00Z</dcterms:modified>
  <cp:category/>
  <cp:version>1</cp:version>
</cp:coreProperties>
</file>